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DD79" w14:textId="77777777" w:rsidR="000C5889" w:rsidRDefault="000C5889" w:rsidP="000C5889">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B5AC95A" wp14:editId="44EB5D2F">
            <wp:extent cx="5486400" cy="1371600"/>
            <wp:effectExtent l="0" t="0" r="0" b="0"/>
            <wp:docPr id="224" name="Picture 224" descr="Macintosh HD:Users:mwood:Desktop:Research-Icons-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Macintosh HD:Users:mwood:Desktop:Research-Icons-he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r>
        <w:rPr>
          <w:rFonts w:ascii="Times" w:hAnsi="Times" w:cs="Times"/>
          <w:noProof/>
          <w:lang w:eastAsia="en-US"/>
        </w:rPr>
        <w:drawing>
          <wp:inline distT="0" distB="0" distL="0" distR="0" wp14:anchorId="1462A599" wp14:editId="2777AA09">
            <wp:extent cx="5054600" cy="190500"/>
            <wp:effectExtent l="0" t="0" r="0" b="1270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190500"/>
                    </a:xfrm>
                    <a:prstGeom prst="rect">
                      <a:avLst/>
                    </a:prstGeom>
                    <a:noFill/>
                    <a:ln>
                      <a:noFill/>
                    </a:ln>
                  </pic:spPr>
                </pic:pic>
              </a:graphicData>
            </a:graphic>
          </wp:inline>
        </w:drawing>
      </w:r>
      <w:r>
        <w:rPr>
          <w:rFonts w:ascii="Times" w:hAnsi="Times" w:cs="Times"/>
        </w:rPr>
        <w:t xml:space="preserve"> </w:t>
      </w:r>
    </w:p>
    <w:p w14:paraId="0C2753EF" w14:textId="77777777" w:rsidR="000C5889" w:rsidRDefault="000C5889" w:rsidP="00792999">
      <w:pPr>
        <w:widowControl w:val="0"/>
        <w:autoSpaceDE w:val="0"/>
        <w:autoSpaceDN w:val="0"/>
        <w:adjustRightInd w:val="0"/>
        <w:spacing w:after="240"/>
        <w:rPr>
          <w:rFonts w:ascii="Cambria" w:hAnsi="Cambria" w:cs="Cambria"/>
          <w:b/>
          <w:bCs/>
        </w:rPr>
      </w:pPr>
    </w:p>
    <w:p w14:paraId="58C36B48" w14:textId="0139AD0C" w:rsidR="00CC702A" w:rsidRPr="00AA75F0" w:rsidRDefault="00E81544" w:rsidP="00AA75F0">
      <w:pPr>
        <w:widowControl w:val="0"/>
        <w:autoSpaceDE w:val="0"/>
        <w:autoSpaceDN w:val="0"/>
        <w:adjustRightInd w:val="0"/>
        <w:spacing w:after="240"/>
        <w:ind w:left="720" w:hanging="720"/>
        <w:jc w:val="center"/>
        <w:rPr>
          <w:rFonts w:ascii="Times New Roman" w:hAnsi="Times New Roman" w:cs="Times"/>
          <w:sz w:val="32"/>
          <w:szCs w:val="32"/>
        </w:rPr>
      </w:pPr>
      <w:r>
        <w:rPr>
          <w:rFonts w:ascii="Times New Roman" w:hAnsi="Times New Roman" w:cs="Cambria"/>
          <w:b/>
          <w:bCs/>
          <w:sz w:val="32"/>
          <w:szCs w:val="32"/>
        </w:rPr>
        <w:t xml:space="preserve">Global Environmental Democracy </w:t>
      </w:r>
      <w:bookmarkStart w:id="0" w:name="_GoBack"/>
      <w:bookmarkEnd w:id="0"/>
      <w:r w:rsidR="00CC702A" w:rsidRPr="00AA75F0">
        <w:rPr>
          <w:rFonts w:ascii="Times New Roman" w:hAnsi="Times New Roman" w:cs="Cambria"/>
          <w:b/>
          <w:bCs/>
          <w:sz w:val="32"/>
          <w:szCs w:val="32"/>
        </w:rPr>
        <w:t>Project</w:t>
      </w:r>
    </w:p>
    <w:p w14:paraId="5323434D" w14:textId="77777777" w:rsidR="00AA75F0" w:rsidRPr="00AA75F0" w:rsidRDefault="00CC702A" w:rsidP="00AA75F0">
      <w:pPr>
        <w:widowControl w:val="0"/>
        <w:autoSpaceDE w:val="0"/>
        <w:autoSpaceDN w:val="0"/>
        <w:adjustRightInd w:val="0"/>
        <w:spacing w:after="240"/>
        <w:ind w:left="720" w:hanging="720"/>
        <w:jc w:val="center"/>
        <w:rPr>
          <w:rFonts w:ascii="Times New Roman" w:hAnsi="Times New Roman" w:cs="Cambria"/>
          <w:sz w:val="28"/>
          <w:szCs w:val="28"/>
        </w:rPr>
      </w:pPr>
      <w:r w:rsidRPr="00AA75F0">
        <w:rPr>
          <w:rFonts w:ascii="Times New Roman" w:hAnsi="Times New Roman" w:cs="Cambria"/>
          <w:sz w:val="28"/>
          <w:szCs w:val="28"/>
        </w:rPr>
        <w:t xml:space="preserve">University of Oregon Environmental and Natural Resources Law Center </w:t>
      </w:r>
    </w:p>
    <w:p w14:paraId="6A323B34" w14:textId="5338C0B2" w:rsidR="00CC702A" w:rsidRPr="00AA75F0" w:rsidRDefault="001A058F" w:rsidP="00AA75F0">
      <w:pPr>
        <w:widowControl w:val="0"/>
        <w:autoSpaceDE w:val="0"/>
        <w:autoSpaceDN w:val="0"/>
        <w:adjustRightInd w:val="0"/>
        <w:spacing w:after="240"/>
        <w:ind w:left="720" w:hanging="720"/>
        <w:jc w:val="center"/>
        <w:rPr>
          <w:rFonts w:ascii="Times New Roman" w:hAnsi="Times New Roman" w:cs="Cambria"/>
          <w:sz w:val="28"/>
          <w:szCs w:val="28"/>
        </w:rPr>
      </w:pPr>
      <w:r>
        <w:rPr>
          <w:rFonts w:ascii="Times New Roman" w:hAnsi="Times New Roman" w:cs="Cambria"/>
          <w:sz w:val="28"/>
          <w:szCs w:val="28"/>
        </w:rPr>
        <w:t xml:space="preserve">Research Project: </w:t>
      </w:r>
      <w:r w:rsidR="00CC702A" w:rsidRPr="00AA75F0">
        <w:rPr>
          <w:rFonts w:ascii="Times New Roman" w:hAnsi="Times New Roman" w:cs="Cambria"/>
          <w:sz w:val="28"/>
          <w:szCs w:val="28"/>
        </w:rPr>
        <w:t>2017</w:t>
      </w:r>
      <w:r>
        <w:rPr>
          <w:rFonts w:ascii="Times New Roman" w:hAnsi="Times New Roman" w:cs="Cambria"/>
          <w:sz w:val="28"/>
          <w:szCs w:val="28"/>
        </w:rPr>
        <w:t>-18</w:t>
      </w:r>
    </w:p>
    <w:p w14:paraId="24163C1E" w14:textId="77777777" w:rsidR="00CC702A" w:rsidRPr="00CC702A" w:rsidRDefault="00CC702A" w:rsidP="00792999">
      <w:pPr>
        <w:widowControl w:val="0"/>
        <w:autoSpaceDE w:val="0"/>
        <w:autoSpaceDN w:val="0"/>
        <w:adjustRightInd w:val="0"/>
        <w:spacing w:after="240"/>
        <w:rPr>
          <w:rFonts w:ascii="Times" w:hAnsi="Times" w:cs="Times"/>
        </w:rPr>
      </w:pPr>
    </w:p>
    <w:p w14:paraId="0B292C37" w14:textId="77777777" w:rsidR="000512D6" w:rsidRDefault="00792999" w:rsidP="00792999">
      <w:pPr>
        <w:widowControl w:val="0"/>
        <w:autoSpaceDE w:val="0"/>
        <w:autoSpaceDN w:val="0"/>
        <w:adjustRightInd w:val="0"/>
        <w:spacing w:after="240"/>
        <w:rPr>
          <w:rFonts w:ascii="Times" w:hAnsi="Times" w:cs="Times"/>
        </w:rPr>
      </w:pPr>
      <w:r w:rsidRPr="00792999">
        <w:rPr>
          <w:rFonts w:ascii="Times" w:hAnsi="Times" w:cs="Times"/>
          <w:b/>
          <w:bCs/>
        </w:rPr>
        <w:t xml:space="preserve">An Atmospheric Recovery and Implementation Plan Funded by Natural Resource Damage Actions Against Fossil Fuel Corporations </w:t>
      </w:r>
    </w:p>
    <w:p w14:paraId="78506245" w14:textId="323FEF7B" w:rsidR="00792999" w:rsidRPr="00792999" w:rsidRDefault="000512D6" w:rsidP="00792999">
      <w:pPr>
        <w:widowControl w:val="0"/>
        <w:autoSpaceDE w:val="0"/>
        <w:autoSpaceDN w:val="0"/>
        <w:adjustRightInd w:val="0"/>
        <w:spacing w:after="240"/>
        <w:rPr>
          <w:rFonts w:ascii="Times" w:hAnsi="Times" w:cs="Times"/>
        </w:rPr>
      </w:pPr>
      <w:r>
        <w:rPr>
          <w:rFonts w:ascii="Times" w:hAnsi="Times" w:cs="Times"/>
        </w:rPr>
        <w:t xml:space="preserve">As </w:t>
      </w:r>
      <w:r w:rsidR="00497F66">
        <w:rPr>
          <w:rFonts w:ascii="Times" w:hAnsi="Times" w:cs="Times"/>
        </w:rPr>
        <w:t>our</w:t>
      </w:r>
      <w:r>
        <w:rPr>
          <w:rFonts w:ascii="Times" w:hAnsi="Times" w:cs="Times"/>
        </w:rPr>
        <w:t xml:space="preserve"> world </w:t>
      </w:r>
      <w:r w:rsidR="002E6460">
        <w:rPr>
          <w:rFonts w:ascii="Times" w:hAnsi="Times" w:cs="Times"/>
        </w:rPr>
        <w:t>moves rapidly</w:t>
      </w:r>
      <w:r>
        <w:rPr>
          <w:rFonts w:ascii="Times" w:hAnsi="Times" w:cs="Times"/>
        </w:rPr>
        <w:t xml:space="preserve"> towards climate tipping points, </w:t>
      </w:r>
      <w:r>
        <w:rPr>
          <w:rFonts w:ascii="Times New Roman" w:hAnsi="Times New Roman" w:cs="Times New Roman"/>
        </w:rPr>
        <w:t>l</w:t>
      </w:r>
      <w:r w:rsidR="00792999" w:rsidRPr="00792999">
        <w:rPr>
          <w:rFonts w:ascii="Times New Roman" w:hAnsi="Times New Roman" w:cs="Times New Roman"/>
        </w:rPr>
        <w:t>eading scientists agree that the climate stabilization strategy must have two parts: 1) emissions reduction; and 2) natural removal of carbon dioxide from the atmosphe</w:t>
      </w:r>
      <w:r w:rsidR="002E6460">
        <w:rPr>
          <w:rFonts w:ascii="Times New Roman" w:hAnsi="Times New Roman" w:cs="Times New Roman"/>
        </w:rPr>
        <w:t xml:space="preserve">re. </w:t>
      </w:r>
      <w:r w:rsidR="00ED2BA0">
        <w:rPr>
          <w:rFonts w:ascii="Times New Roman" w:hAnsi="Times New Roman" w:cs="Times New Roman"/>
        </w:rPr>
        <w:t xml:space="preserve"> A</w:t>
      </w:r>
      <w:r w:rsidR="00792999" w:rsidRPr="00792999">
        <w:rPr>
          <w:rFonts w:ascii="Times New Roman" w:hAnsi="Times New Roman" w:cs="Times New Roman"/>
        </w:rPr>
        <w:t>n international team led by Dr. James Hansen, formerly the Director of NASA’s Goddard Institute for Space Studies</w:t>
      </w:r>
      <w:r w:rsidR="00ED2BA0">
        <w:rPr>
          <w:rFonts w:ascii="Times New Roman" w:hAnsi="Times New Roman" w:cs="Times New Roman"/>
        </w:rPr>
        <w:t xml:space="preserve">, </w:t>
      </w:r>
      <w:r w:rsidR="00DD4C9D">
        <w:rPr>
          <w:rFonts w:ascii="Times New Roman" w:hAnsi="Times New Roman" w:cs="Times New Roman"/>
        </w:rPr>
        <w:t>quantified these two parts by developing</w:t>
      </w:r>
      <w:r w:rsidR="00792999" w:rsidRPr="00792999">
        <w:rPr>
          <w:rFonts w:ascii="Times New Roman" w:hAnsi="Times New Roman" w:cs="Times New Roman"/>
        </w:rPr>
        <w:t xml:space="preserve"> a prescription</w:t>
      </w:r>
      <w:r w:rsidR="002E6460">
        <w:rPr>
          <w:rFonts w:ascii="Times New Roman" w:hAnsi="Times New Roman" w:cs="Times New Roman"/>
        </w:rPr>
        <w:t xml:space="preserve"> for restoring equilibrium at </w:t>
      </w:r>
      <w:r w:rsidR="00792999" w:rsidRPr="00792999">
        <w:rPr>
          <w:rFonts w:ascii="Times New Roman" w:hAnsi="Times New Roman" w:cs="Times New Roman"/>
        </w:rPr>
        <w:t>350 parts per million of carbon dioxide in the atmosphere. The prescription calls for two measures: 1) a global pathway of 6% annual carbon dioxide emissions reductions</w:t>
      </w:r>
      <w:r>
        <w:rPr>
          <w:rFonts w:ascii="Times New Roman" w:hAnsi="Times New Roman" w:cs="Times New Roman"/>
        </w:rPr>
        <w:t xml:space="preserve"> (beginning in 2013)</w:t>
      </w:r>
      <w:r w:rsidR="00792999" w:rsidRPr="00792999">
        <w:rPr>
          <w:rFonts w:ascii="Times New Roman" w:hAnsi="Times New Roman" w:cs="Times New Roman"/>
        </w:rPr>
        <w:t xml:space="preserve">; and 2) a drawdown of 100 Gigatons of carbon from the atmosphere through reforestation and soil sequestration methods. </w:t>
      </w:r>
    </w:p>
    <w:p w14:paraId="3ED6F8C3" w14:textId="77777777" w:rsidR="00792999" w:rsidRPr="00792999" w:rsidRDefault="00792999" w:rsidP="00792999">
      <w:pPr>
        <w:widowControl w:val="0"/>
        <w:autoSpaceDE w:val="0"/>
        <w:autoSpaceDN w:val="0"/>
        <w:adjustRightInd w:val="0"/>
        <w:spacing w:after="240"/>
        <w:rPr>
          <w:rFonts w:ascii="Times" w:hAnsi="Times" w:cs="Times"/>
        </w:rPr>
      </w:pPr>
      <w:r w:rsidRPr="00792999">
        <w:rPr>
          <w:rFonts w:ascii="Times" w:hAnsi="Times" w:cs="Times"/>
          <w:b/>
          <w:bCs/>
        </w:rPr>
        <w:t xml:space="preserve">Carbon Dioxide Emissions Reduction </w:t>
      </w:r>
    </w:p>
    <w:p w14:paraId="581228E1" w14:textId="77777777"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As to the first measure, it will be essential over the long term to reduce emissions to nearly zero, but political gridlock in the legislative and executive branches of the United States (and in many other nations) blocks progress. Judicial intervention is necessary on the domestic level to force leaders to act before climate tipping points set in motion irreversible heating, thereby nullifying the opportunity to thwart catastrophe. </w:t>
      </w:r>
    </w:p>
    <w:p w14:paraId="46227C22" w14:textId="638FD298"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A global litigation strategy called Atmospheric Trust Litigation (ATL) is underway to define sovereign legal obligations towards the global atmosphere and force governments to lower carbon emissions within their jurisdictions. The approach draws upon the public trust doctrine, which is manifest in many nations throughout the world. This principle requires that sovereigns (nations and their subdivisions) act as trustees towards crucial natural resources and protect such resources against substantial impairment. The principle </w:t>
      </w:r>
      <w:r w:rsidR="0005424C">
        <w:rPr>
          <w:rFonts w:ascii="Times New Roman" w:hAnsi="Times New Roman" w:cs="Times New Roman"/>
        </w:rPr>
        <w:t>characterizes</w:t>
      </w:r>
      <w:r w:rsidRPr="00792999">
        <w:rPr>
          <w:rFonts w:ascii="Times New Roman" w:hAnsi="Times New Roman" w:cs="Times New Roman"/>
        </w:rPr>
        <w:t xml:space="preserve"> both present and future generations of citizens as beneficiaries holding </w:t>
      </w:r>
      <w:r w:rsidRPr="00792999">
        <w:rPr>
          <w:rFonts w:ascii="Times New Roman" w:hAnsi="Times New Roman" w:cs="Times New Roman"/>
        </w:rPr>
        <w:lastRenderedPageBreak/>
        <w:t xml:space="preserve">inalienable public property rights -- of constitutional character -- in life-sustaining resources. The judiciary has enforced public trust protections in other contexts (such as waterways and wildlife). ATL asks courts to apply the same logic to the atmosphere. </w:t>
      </w:r>
    </w:p>
    <w:p w14:paraId="35DC2319" w14:textId="25C8A56B" w:rsidR="00311076" w:rsidRDefault="00792999" w:rsidP="00792999">
      <w:pPr>
        <w:widowControl w:val="0"/>
        <w:autoSpaceDE w:val="0"/>
        <w:autoSpaceDN w:val="0"/>
        <w:adjustRightInd w:val="0"/>
        <w:spacing w:after="240"/>
        <w:rPr>
          <w:rFonts w:ascii="Times New Roman" w:hAnsi="Times New Roman" w:cs="Times New Roman"/>
        </w:rPr>
      </w:pPr>
      <w:r w:rsidRPr="00792999">
        <w:rPr>
          <w:rFonts w:ascii="Times New Roman" w:hAnsi="Times New Roman" w:cs="Times New Roman"/>
        </w:rPr>
        <w:t xml:space="preserve">As sovereign co-trustees of the atmospheric trust, all nations on earth owe corollary and reciprocal responsibilities to other co-trustees, as well as to their own citizen beneficiaries, to protect the Earth’s </w:t>
      </w:r>
      <w:r w:rsidR="0037100B">
        <w:rPr>
          <w:rFonts w:ascii="Times New Roman" w:hAnsi="Times New Roman" w:cs="Times New Roman"/>
        </w:rPr>
        <w:t xml:space="preserve">climate function. ATL cases </w:t>
      </w:r>
      <w:r w:rsidRPr="00792999">
        <w:rPr>
          <w:rFonts w:ascii="Times New Roman" w:hAnsi="Times New Roman" w:cs="Times New Roman"/>
        </w:rPr>
        <w:t xml:space="preserve">have been brought by the non-profit organization, Our Children’s Trust, in </w:t>
      </w:r>
      <w:r w:rsidR="0037100B">
        <w:rPr>
          <w:rFonts w:ascii="Times New Roman" w:hAnsi="Times New Roman" w:cs="Times New Roman"/>
        </w:rPr>
        <w:t>various</w:t>
      </w:r>
      <w:r w:rsidRPr="00792999">
        <w:rPr>
          <w:rFonts w:ascii="Times New Roman" w:hAnsi="Times New Roman" w:cs="Times New Roman"/>
        </w:rPr>
        <w:t xml:space="preserve"> state</w:t>
      </w:r>
      <w:r w:rsidR="0037100B">
        <w:rPr>
          <w:rFonts w:ascii="Times New Roman" w:hAnsi="Times New Roman" w:cs="Times New Roman"/>
        </w:rPr>
        <w:t>s</w:t>
      </w:r>
      <w:r w:rsidRPr="00792999">
        <w:rPr>
          <w:rFonts w:ascii="Times New Roman" w:hAnsi="Times New Roman" w:cs="Times New Roman"/>
        </w:rPr>
        <w:t xml:space="preserve"> in the United States, against the </w:t>
      </w:r>
      <w:r w:rsidR="0037100B">
        <w:rPr>
          <w:rFonts w:ascii="Times New Roman" w:hAnsi="Times New Roman" w:cs="Times New Roman"/>
        </w:rPr>
        <w:t xml:space="preserve">federal government (Obama and </w:t>
      </w:r>
      <w:r w:rsidR="00FD46BE">
        <w:rPr>
          <w:rFonts w:ascii="Times New Roman" w:hAnsi="Times New Roman" w:cs="Times New Roman"/>
        </w:rPr>
        <w:t>now</w:t>
      </w:r>
      <w:r w:rsidR="0037100B">
        <w:rPr>
          <w:rFonts w:ascii="Times New Roman" w:hAnsi="Times New Roman" w:cs="Times New Roman"/>
        </w:rPr>
        <w:t xml:space="preserve"> Trump Administration), </w:t>
      </w:r>
      <w:r w:rsidRPr="00792999">
        <w:rPr>
          <w:rFonts w:ascii="Times New Roman" w:hAnsi="Times New Roman" w:cs="Times New Roman"/>
        </w:rPr>
        <w:t xml:space="preserve">and in other countries as well. </w:t>
      </w:r>
      <w:r w:rsidR="00FD46BE">
        <w:rPr>
          <w:rFonts w:ascii="Times New Roman" w:hAnsi="Times New Roman" w:cs="Times New Roman"/>
        </w:rPr>
        <w:t xml:space="preserve"> </w:t>
      </w:r>
      <w:r w:rsidRPr="00792999">
        <w:rPr>
          <w:rFonts w:ascii="Times New Roman" w:hAnsi="Times New Roman" w:cs="Times New Roman"/>
        </w:rPr>
        <w:t xml:space="preserve">ATL seeks a judicial remedy in domestic courts requiring governments to develop climate recovery plans that reduce emissions within their jurisdictions by 6% annually (a figure that increases with delay). By characterizing climate crisis as a matter of sovereign constitutional obligation and by offering a uniform remedy linked to a global climate prescription, ATL envisions discernable rules enforceable in domestic courts that can help promote a common plan of global protection – even in a world governed by multiple sovereigns with fragmented jurisdiction over the planet. </w:t>
      </w:r>
    </w:p>
    <w:p w14:paraId="3400F7E6" w14:textId="0B5C2C0A"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While there is no panacea, domestic courts have the power to order swift and decisive relief responsive to the urgency of the crisis. </w:t>
      </w:r>
      <w:r w:rsidR="0037100B">
        <w:rPr>
          <w:rFonts w:ascii="Times New Roman" w:hAnsi="Times New Roman" w:cs="Times New Roman"/>
        </w:rPr>
        <w:t xml:space="preserve"> In the landmark case, </w:t>
      </w:r>
      <w:r w:rsidR="0037100B" w:rsidRPr="0037100B">
        <w:rPr>
          <w:rFonts w:ascii="Times New Roman" w:hAnsi="Times New Roman" w:cs="Times New Roman"/>
          <w:i/>
        </w:rPr>
        <w:t>Juliana v. United States</w:t>
      </w:r>
      <w:r w:rsidR="0037100B">
        <w:rPr>
          <w:rFonts w:ascii="Times New Roman" w:hAnsi="Times New Roman" w:cs="Times New Roman"/>
        </w:rPr>
        <w:t>, the federal district court of Oregon found a federal constitutional public trust duty</w:t>
      </w:r>
      <w:r w:rsidR="00311076">
        <w:rPr>
          <w:rFonts w:ascii="Times New Roman" w:hAnsi="Times New Roman" w:cs="Times New Roman"/>
        </w:rPr>
        <w:t xml:space="preserve">, as well as a duty grounded in the due process clause of the U.S. Constitution, </w:t>
      </w:r>
      <w:r w:rsidR="0037100B">
        <w:rPr>
          <w:rFonts w:ascii="Times New Roman" w:hAnsi="Times New Roman" w:cs="Times New Roman"/>
        </w:rPr>
        <w:t xml:space="preserve">to protect a stable climate </w:t>
      </w:r>
      <w:r w:rsidR="00311076">
        <w:rPr>
          <w:rFonts w:ascii="Times New Roman" w:hAnsi="Times New Roman" w:cs="Times New Roman"/>
        </w:rPr>
        <w:t xml:space="preserve">system </w:t>
      </w:r>
      <w:r w:rsidR="0037100B">
        <w:rPr>
          <w:rFonts w:ascii="Times New Roman" w:hAnsi="Times New Roman" w:cs="Times New Roman"/>
        </w:rPr>
        <w:t xml:space="preserve">capable of supporting </w:t>
      </w:r>
      <w:r w:rsidR="00311076">
        <w:rPr>
          <w:rFonts w:ascii="Times New Roman" w:hAnsi="Times New Roman" w:cs="Times New Roman"/>
        </w:rPr>
        <w:t>human</w:t>
      </w:r>
      <w:r w:rsidR="0037100B">
        <w:rPr>
          <w:rFonts w:ascii="Times New Roman" w:hAnsi="Times New Roman" w:cs="Times New Roman"/>
        </w:rPr>
        <w:t xml:space="preserve"> life.  Likewise,</w:t>
      </w:r>
      <w:r w:rsidR="00311076">
        <w:rPr>
          <w:rFonts w:ascii="Times New Roman" w:hAnsi="Times New Roman" w:cs="Times New Roman"/>
        </w:rPr>
        <w:t xml:space="preserve"> in </w:t>
      </w:r>
      <w:r w:rsidR="00311076" w:rsidRPr="003B5E65">
        <w:rPr>
          <w:rFonts w:ascii="Times New Roman" w:hAnsi="Times New Roman" w:cs="Times New Roman"/>
          <w:i/>
        </w:rPr>
        <w:t>Foster v. Department of Ecology</w:t>
      </w:r>
      <w:r w:rsidR="00311076">
        <w:rPr>
          <w:rFonts w:ascii="Times New Roman" w:hAnsi="Times New Roman" w:cs="Times New Roman"/>
        </w:rPr>
        <w:t>,</w:t>
      </w:r>
      <w:r w:rsidR="0037100B">
        <w:rPr>
          <w:rFonts w:ascii="Times New Roman" w:hAnsi="Times New Roman" w:cs="Times New Roman"/>
        </w:rPr>
        <w:t xml:space="preserve"> a court in Washington </w:t>
      </w:r>
      <w:r w:rsidR="00311076">
        <w:rPr>
          <w:rFonts w:ascii="Times New Roman" w:hAnsi="Times New Roman" w:cs="Times New Roman"/>
        </w:rPr>
        <w:t>S</w:t>
      </w:r>
      <w:r w:rsidR="0037100B">
        <w:rPr>
          <w:rFonts w:ascii="Times New Roman" w:hAnsi="Times New Roman" w:cs="Times New Roman"/>
        </w:rPr>
        <w:t>tate found a state-based constitutional public trust right to a stable climate system</w:t>
      </w:r>
      <w:r w:rsidR="003B5E65">
        <w:rPr>
          <w:rFonts w:ascii="Times New Roman" w:hAnsi="Times New Roman" w:cs="Times New Roman"/>
        </w:rPr>
        <w:t>.</w:t>
      </w:r>
    </w:p>
    <w:p w14:paraId="2432FA57" w14:textId="77777777" w:rsidR="00792999" w:rsidRPr="00792999" w:rsidRDefault="00792999" w:rsidP="00792999">
      <w:pPr>
        <w:widowControl w:val="0"/>
        <w:autoSpaceDE w:val="0"/>
        <w:autoSpaceDN w:val="0"/>
        <w:adjustRightInd w:val="0"/>
        <w:spacing w:after="240"/>
        <w:rPr>
          <w:rFonts w:ascii="Times" w:hAnsi="Times" w:cs="Times"/>
        </w:rPr>
      </w:pPr>
      <w:r w:rsidRPr="00792999">
        <w:rPr>
          <w:rFonts w:ascii="Times" w:hAnsi="Times" w:cs="Times"/>
          <w:b/>
          <w:bCs/>
        </w:rPr>
        <w:t xml:space="preserve">Atmospheric Carbon Drawdown </w:t>
      </w:r>
    </w:p>
    <w:p w14:paraId="52BA8F88" w14:textId="1D7EAE8C"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The public trust principle can also promote the other side of the Hansen </w:t>
      </w:r>
      <w:r w:rsidRPr="00792999">
        <w:rPr>
          <w:rFonts w:ascii="Times" w:hAnsi="Times" w:cs="Times"/>
          <w:i/>
          <w:iCs/>
        </w:rPr>
        <w:t xml:space="preserve">et. al. </w:t>
      </w:r>
      <w:r w:rsidRPr="00792999">
        <w:rPr>
          <w:rFonts w:ascii="Times New Roman" w:hAnsi="Times New Roman" w:cs="Times New Roman"/>
        </w:rPr>
        <w:t>prescription, which calls for projects across the globe to draw</w:t>
      </w:r>
      <w:r w:rsidR="00503463">
        <w:rPr>
          <w:rFonts w:ascii="Times New Roman" w:hAnsi="Times New Roman" w:cs="Times New Roman"/>
        </w:rPr>
        <w:t xml:space="preserve"> </w:t>
      </w:r>
      <w:r w:rsidRPr="00792999">
        <w:rPr>
          <w:rFonts w:ascii="Times New Roman" w:hAnsi="Times New Roman" w:cs="Times New Roman"/>
        </w:rPr>
        <w:t xml:space="preserve">down atmospheric carbon through natural methods. Research by UN scientific committees, university institutes, and non-profit research entities shows the potential for strategic natural drawdown measures. Four categories of projects potentially situated to accomplish major drawdown are: 1) reforestation; 2) soil sequestration through improved (non-chemical) agricultural processes; 3) mangrove </w:t>
      </w:r>
      <w:r w:rsidR="00503463">
        <w:rPr>
          <w:rFonts w:ascii="Times New Roman" w:hAnsi="Times New Roman" w:cs="Times New Roman"/>
        </w:rPr>
        <w:t xml:space="preserve">and wetlands </w:t>
      </w:r>
      <w:r w:rsidRPr="00792999">
        <w:rPr>
          <w:rFonts w:ascii="Times New Roman" w:hAnsi="Times New Roman" w:cs="Times New Roman"/>
        </w:rPr>
        <w:t>restoration; and 4) regenerative grazing practices. These methods c</w:t>
      </w:r>
      <w:r w:rsidR="002347AD">
        <w:rPr>
          <w:rFonts w:ascii="Times New Roman" w:hAnsi="Times New Roman" w:cs="Times New Roman"/>
        </w:rPr>
        <w:t xml:space="preserve">arry significant co-benefits by </w:t>
      </w:r>
      <w:r w:rsidRPr="00792999">
        <w:rPr>
          <w:rFonts w:ascii="Times New Roman" w:hAnsi="Times New Roman" w:cs="Times New Roman"/>
        </w:rPr>
        <w:t>restoring</w:t>
      </w:r>
      <w:r w:rsidR="002347AD">
        <w:rPr>
          <w:rFonts w:ascii="Times New Roman" w:hAnsi="Times New Roman" w:cs="Times New Roman"/>
        </w:rPr>
        <w:t xml:space="preserve"> and stimulating soil productivity, </w:t>
      </w:r>
      <w:r w:rsidRPr="00792999">
        <w:rPr>
          <w:rFonts w:ascii="Times New Roman" w:hAnsi="Times New Roman" w:cs="Times New Roman"/>
        </w:rPr>
        <w:t>increasing food production</w:t>
      </w:r>
      <w:r w:rsidR="002347AD">
        <w:rPr>
          <w:rFonts w:ascii="Times New Roman" w:hAnsi="Times New Roman" w:cs="Times New Roman"/>
        </w:rPr>
        <w:t>, and boosting local economies</w:t>
      </w:r>
      <w:r w:rsidRPr="00792999">
        <w:rPr>
          <w:rFonts w:ascii="Times New Roman" w:hAnsi="Times New Roman" w:cs="Times New Roman"/>
        </w:rPr>
        <w:t xml:space="preserve">. They would also restore ecosystem services such as water source protection, storm buffering, </w:t>
      </w:r>
      <w:r w:rsidR="00FD46BE">
        <w:rPr>
          <w:rFonts w:ascii="Times New Roman" w:hAnsi="Times New Roman" w:cs="Times New Roman"/>
        </w:rPr>
        <w:t xml:space="preserve">flood control, </w:t>
      </w:r>
      <w:r w:rsidRPr="00792999">
        <w:rPr>
          <w:rFonts w:ascii="Times New Roman" w:hAnsi="Times New Roman" w:cs="Times New Roman"/>
        </w:rPr>
        <w:t xml:space="preserve">pollution filtration, and species habitat. </w:t>
      </w:r>
      <w:r w:rsidR="00503463">
        <w:rPr>
          <w:rFonts w:ascii="Times New Roman" w:hAnsi="Times New Roman" w:cs="Times New Roman"/>
        </w:rPr>
        <w:t xml:space="preserve"> </w:t>
      </w:r>
    </w:p>
    <w:p w14:paraId="5A212986" w14:textId="6DB83E29"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Projects in these four categories can be planned in targeted areas throughout the world. A planning institute or entity </w:t>
      </w:r>
      <w:r w:rsidR="00931ED5">
        <w:rPr>
          <w:rFonts w:ascii="Times New Roman" w:hAnsi="Times New Roman" w:cs="Times New Roman"/>
        </w:rPr>
        <w:t xml:space="preserve">envisioned as the Atmospheric Recovery Institute (ARI) </w:t>
      </w:r>
      <w:r w:rsidRPr="00792999">
        <w:rPr>
          <w:rFonts w:ascii="Times New Roman" w:hAnsi="Times New Roman" w:cs="Times New Roman"/>
        </w:rPr>
        <w:t xml:space="preserve">can design projects, supervise implementation, and conduct a carbon accounting to verify predicted drawdown. </w:t>
      </w:r>
      <w:r w:rsidR="00931ED5">
        <w:rPr>
          <w:rFonts w:ascii="Times New Roman" w:hAnsi="Times New Roman" w:cs="Times New Roman"/>
        </w:rPr>
        <w:t xml:space="preserve"> Ideally situated in a top-flight research university, the ARI </w:t>
      </w:r>
      <w:r w:rsidRPr="00792999">
        <w:rPr>
          <w:rFonts w:ascii="Times New Roman" w:hAnsi="Times New Roman" w:cs="Times New Roman"/>
        </w:rPr>
        <w:t>would be positioned to analyze terrestrial carbon processes and evaluate overall carbon drawdown from the atmosphere.</w:t>
      </w:r>
      <w:r w:rsidR="00551052">
        <w:rPr>
          <w:rFonts w:ascii="Times New Roman" w:hAnsi="Times New Roman" w:cs="Times New Roman"/>
        </w:rPr>
        <w:t xml:space="preserve">  A separate </w:t>
      </w:r>
      <w:r w:rsidR="00FD46BE">
        <w:rPr>
          <w:rFonts w:ascii="Times New Roman" w:hAnsi="Times New Roman" w:cs="Times New Roman"/>
        </w:rPr>
        <w:t xml:space="preserve">and independent </w:t>
      </w:r>
      <w:r w:rsidR="00551052">
        <w:rPr>
          <w:rFonts w:ascii="Times New Roman" w:hAnsi="Times New Roman" w:cs="Times New Roman"/>
        </w:rPr>
        <w:t xml:space="preserve">financing entity, the Sky Trust, </w:t>
      </w:r>
      <w:r w:rsidR="00FD46BE">
        <w:rPr>
          <w:rFonts w:ascii="Times New Roman" w:hAnsi="Times New Roman" w:cs="Times New Roman"/>
        </w:rPr>
        <w:t>is necessary</w:t>
      </w:r>
      <w:r w:rsidR="00551052">
        <w:rPr>
          <w:rFonts w:ascii="Times New Roman" w:hAnsi="Times New Roman" w:cs="Times New Roman"/>
        </w:rPr>
        <w:t xml:space="preserve"> to receive money from liability judgments and disperse such funds into </w:t>
      </w:r>
      <w:r w:rsidR="00927B4C">
        <w:rPr>
          <w:rFonts w:ascii="Times New Roman" w:hAnsi="Times New Roman" w:cs="Times New Roman"/>
        </w:rPr>
        <w:t xml:space="preserve">qualifying </w:t>
      </w:r>
      <w:r w:rsidR="00551052">
        <w:rPr>
          <w:rFonts w:ascii="Times New Roman" w:hAnsi="Times New Roman" w:cs="Times New Roman"/>
        </w:rPr>
        <w:t xml:space="preserve">drawdown projects worldwide. </w:t>
      </w:r>
    </w:p>
    <w:p w14:paraId="4542E0B5" w14:textId="5B1F9A45"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These restoration projects will be expensive in the aggregate, perhaps totaling over a trillion dollars. International negotiations have not discussed an atmospheric recovery plan, nor have they attempted to fund restoration efforts. The focus of monetary commitments has been primarily on compensating human communities for rel</w:t>
      </w:r>
      <w:r w:rsidR="002623D1">
        <w:rPr>
          <w:rFonts w:ascii="Times New Roman" w:hAnsi="Times New Roman" w:cs="Times New Roman"/>
        </w:rPr>
        <w:t>ocation and climate damage.  Attention towards</w:t>
      </w:r>
      <w:r w:rsidRPr="00792999">
        <w:rPr>
          <w:rFonts w:ascii="Times New Roman" w:hAnsi="Times New Roman" w:cs="Times New Roman"/>
        </w:rPr>
        <w:t xml:space="preserve"> terrestrial measures has been </w:t>
      </w:r>
      <w:r w:rsidR="002623D1">
        <w:rPr>
          <w:rFonts w:ascii="Times New Roman" w:hAnsi="Times New Roman" w:cs="Times New Roman"/>
        </w:rPr>
        <w:t>aimed at</w:t>
      </w:r>
      <w:r w:rsidRPr="00792999">
        <w:rPr>
          <w:rFonts w:ascii="Times New Roman" w:hAnsi="Times New Roman" w:cs="Times New Roman"/>
        </w:rPr>
        <w:t xml:space="preserve"> abating the loss of valuable forests that provide carbon “sinks” to absorb ongoing pollution. These measures do nothing to draw down the </w:t>
      </w:r>
      <w:r w:rsidRPr="00792999">
        <w:rPr>
          <w:rFonts w:ascii="Times" w:hAnsi="Times" w:cs="Times"/>
          <w:i/>
          <w:iCs/>
        </w:rPr>
        <w:t xml:space="preserve">existing excess </w:t>
      </w:r>
      <w:r w:rsidRPr="00792999">
        <w:rPr>
          <w:rFonts w:ascii="Times New Roman" w:hAnsi="Times New Roman" w:cs="Times New Roman"/>
        </w:rPr>
        <w:t xml:space="preserve">of carbon dioxide in the atmosphere. Without such measures, the energy imbalance will continue to cause </w:t>
      </w:r>
      <w:r w:rsidR="002623D1">
        <w:rPr>
          <w:rFonts w:ascii="Times New Roman" w:hAnsi="Times New Roman" w:cs="Times New Roman"/>
        </w:rPr>
        <w:t xml:space="preserve">massive damage to human and ecological communities. Ultimately, the imbalance threatens </w:t>
      </w:r>
      <w:r w:rsidRPr="00792999">
        <w:rPr>
          <w:rFonts w:ascii="Times New Roman" w:hAnsi="Times New Roman" w:cs="Times New Roman"/>
        </w:rPr>
        <w:t xml:space="preserve">uncontrollable heating that would render much of the planet </w:t>
      </w:r>
      <w:r w:rsidR="003A2533">
        <w:rPr>
          <w:rFonts w:ascii="Times New Roman" w:hAnsi="Times New Roman" w:cs="Times New Roman"/>
        </w:rPr>
        <w:t>un</w:t>
      </w:r>
      <w:r w:rsidRPr="00792999">
        <w:rPr>
          <w:rFonts w:ascii="Times New Roman" w:hAnsi="Times New Roman" w:cs="Times New Roman"/>
        </w:rPr>
        <w:t xml:space="preserve">inhabitable to humans. Geo-engineering proposals, while targeted to planetary stability, are fraught with extreme risk. The natural methods </w:t>
      </w:r>
      <w:r w:rsidR="00927B4C">
        <w:rPr>
          <w:rFonts w:ascii="Times New Roman" w:hAnsi="Times New Roman" w:cs="Times New Roman"/>
        </w:rPr>
        <w:t>of draw</w:t>
      </w:r>
      <w:r w:rsidR="002623D1">
        <w:rPr>
          <w:rFonts w:ascii="Times New Roman" w:hAnsi="Times New Roman" w:cs="Times New Roman"/>
        </w:rPr>
        <w:t xml:space="preserve">down </w:t>
      </w:r>
      <w:r w:rsidRPr="00792999">
        <w:rPr>
          <w:rFonts w:ascii="Times New Roman" w:hAnsi="Times New Roman" w:cs="Times New Roman"/>
        </w:rPr>
        <w:t xml:space="preserve">are both preferable and feasible if planning commences quickly. </w:t>
      </w:r>
    </w:p>
    <w:p w14:paraId="3CD168E3" w14:textId="78D64B0C"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A legal strategy can leverage the public trust principle to hold the major fossil fuel corporations liable for funding such atmospheric recovery. Public trust law holds polluters liable for damages to public trust assets and requires sovereign trustees to seek recovery of such natural resource damages and apply them towards restoration of the asset. </w:t>
      </w:r>
      <w:r w:rsidR="002623D1">
        <w:rPr>
          <w:rFonts w:ascii="Times New Roman" w:hAnsi="Times New Roman" w:cs="Times New Roman"/>
        </w:rPr>
        <w:t xml:space="preserve"> Ample precedent exists for holding c</w:t>
      </w:r>
      <w:r w:rsidRPr="00792999">
        <w:rPr>
          <w:rFonts w:ascii="Times New Roman" w:hAnsi="Times New Roman" w:cs="Times New Roman"/>
        </w:rPr>
        <w:t>orporations that</w:t>
      </w:r>
      <w:r w:rsidR="00F0460C">
        <w:rPr>
          <w:rFonts w:ascii="Times New Roman" w:hAnsi="Times New Roman" w:cs="Times New Roman"/>
        </w:rPr>
        <w:t xml:space="preserve"> cause marine oil spills</w:t>
      </w:r>
      <w:r w:rsidR="002623D1">
        <w:rPr>
          <w:rFonts w:ascii="Times New Roman" w:hAnsi="Times New Roman" w:cs="Times New Roman"/>
        </w:rPr>
        <w:t xml:space="preserve"> liable</w:t>
      </w:r>
      <w:r w:rsidRPr="00792999">
        <w:rPr>
          <w:rFonts w:ascii="Times New Roman" w:hAnsi="Times New Roman" w:cs="Times New Roman"/>
        </w:rPr>
        <w:t xml:space="preserve"> for natural resource damages. The same </w:t>
      </w:r>
      <w:r w:rsidR="00927B4C">
        <w:rPr>
          <w:rFonts w:ascii="Times New Roman" w:hAnsi="Times New Roman" w:cs="Times New Roman"/>
        </w:rPr>
        <w:t xml:space="preserve">liability </w:t>
      </w:r>
      <w:r w:rsidRPr="00792999">
        <w:rPr>
          <w:rFonts w:ascii="Times New Roman" w:hAnsi="Times New Roman" w:cs="Times New Roman"/>
        </w:rPr>
        <w:t>principle extend</w:t>
      </w:r>
      <w:r w:rsidR="00240E07">
        <w:rPr>
          <w:rFonts w:ascii="Times New Roman" w:hAnsi="Times New Roman" w:cs="Times New Roman"/>
        </w:rPr>
        <w:t>s</w:t>
      </w:r>
      <w:r w:rsidRPr="00792999">
        <w:rPr>
          <w:rFonts w:ascii="Times New Roman" w:hAnsi="Times New Roman" w:cs="Times New Roman"/>
        </w:rPr>
        <w:t xml:space="preserve"> to the atmosphere, a global trust resource. The amount of aggregate damages can be assessed by the cost of the overall recovery plan that is necessary to drawdown 100 Gigatons atmospheric carbon, as provided in the Hansen </w:t>
      </w:r>
      <w:r w:rsidRPr="00792999">
        <w:rPr>
          <w:rFonts w:ascii="Times" w:hAnsi="Times" w:cs="Times"/>
          <w:i/>
          <w:iCs/>
        </w:rPr>
        <w:t xml:space="preserve">et. al </w:t>
      </w:r>
      <w:r w:rsidRPr="00792999">
        <w:rPr>
          <w:rFonts w:ascii="Times New Roman" w:hAnsi="Times New Roman" w:cs="Times New Roman"/>
        </w:rPr>
        <w:t xml:space="preserve">prescription. </w:t>
      </w:r>
    </w:p>
    <w:p w14:paraId="48B19239" w14:textId="2D9B175A" w:rsidR="00792999" w:rsidRPr="00792999" w:rsidRDefault="00792999" w:rsidP="00792999">
      <w:pPr>
        <w:widowControl w:val="0"/>
        <w:autoSpaceDE w:val="0"/>
        <w:autoSpaceDN w:val="0"/>
        <w:adjustRightInd w:val="0"/>
        <w:spacing w:after="240"/>
        <w:rPr>
          <w:rFonts w:ascii="Times" w:hAnsi="Times" w:cs="Times"/>
        </w:rPr>
      </w:pPr>
      <w:r w:rsidRPr="00792999">
        <w:rPr>
          <w:rFonts w:ascii="Times New Roman" w:hAnsi="Times New Roman" w:cs="Times New Roman"/>
        </w:rPr>
        <w:t xml:space="preserve">The major fossil fuel corporations (“carbon majors”) bear primary liability for atmospheric natural resource damages. Their proportionate responsibility for carbon emissions since the Industrial Revolution has been determined in a study authored by Rick Heede. The largest fossil fuel corporations have </w:t>
      </w:r>
      <w:r w:rsidR="00240E07">
        <w:rPr>
          <w:rFonts w:ascii="Times New Roman" w:hAnsi="Times New Roman" w:cs="Times New Roman"/>
        </w:rPr>
        <w:t>collectively</w:t>
      </w:r>
      <w:r w:rsidRPr="00792999">
        <w:rPr>
          <w:rFonts w:ascii="Times New Roman" w:hAnsi="Times New Roman" w:cs="Times New Roman"/>
        </w:rPr>
        <w:t xml:space="preserve"> </w:t>
      </w:r>
      <w:r w:rsidR="00240E07">
        <w:rPr>
          <w:rFonts w:ascii="Times New Roman" w:hAnsi="Times New Roman" w:cs="Times New Roman"/>
        </w:rPr>
        <w:t>gained</w:t>
      </w:r>
      <w:r w:rsidRPr="00792999">
        <w:rPr>
          <w:rFonts w:ascii="Times New Roman" w:hAnsi="Times New Roman" w:cs="Times New Roman"/>
        </w:rPr>
        <w:t xml:space="preserve"> more than $1 trillion i</w:t>
      </w:r>
      <w:r w:rsidR="001E17A8">
        <w:rPr>
          <w:rFonts w:ascii="Times New Roman" w:hAnsi="Times New Roman" w:cs="Times New Roman"/>
        </w:rPr>
        <w:t xml:space="preserve">n profits since the millennium and stand as </w:t>
      </w:r>
      <w:r w:rsidRPr="00792999">
        <w:rPr>
          <w:rFonts w:ascii="Times New Roman" w:hAnsi="Times New Roman" w:cs="Times New Roman"/>
        </w:rPr>
        <w:t>a significant deep-pocket funding source for atmospheric restoration.</w:t>
      </w:r>
      <w:r w:rsidR="00B92FCB">
        <w:rPr>
          <w:rFonts w:ascii="Times New Roman" w:hAnsi="Times New Roman" w:cs="Times New Roman"/>
        </w:rPr>
        <w:t xml:space="preserve">  States</w:t>
      </w:r>
      <w:r w:rsidRPr="00792999">
        <w:rPr>
          <w:rFonts w:ascii="Times New Roman" w:hAnsi="Times New Roman" w:cs="Times New Roman"/>
        </w:rPr>
        <w:t xml:space="preserve"> are positioned, as co-trustees, to seek such damages either by </w:t>
      </w:r>
      <w:r w:rsidR="00B92FCB">
        <w:rPr>
          <w:rFonts w:ascii="Times New Roman" w:hAnsi="Times New Roman" w:cs="Times New Roman"/>
        </w:rPr>
        <w:t>invoking</w:t>
      </w:r>
      <w:r w:rsidRPr="00792999">
        <w:rPr>
          <w:rFonts w:ascii="Times New Roman" w:hAnsi="Times New Roman" w:cs="Times New Roman"/>
        </w:rPr>
        <w:t xml:space="preserve"> existing </w:t>
      </w:r>
      <w:r w:rsidR="00B92FCB">
        <w:rPr>
          <w:rFonts w:ascii="Times New Roman" w:hAnsi="Times New Roman" w:cs="Times New Roman"/>
        </w:rPr>
        <w:t>public trust principles</w:t>
      </w:r>
      <w:r w:rsidRPr="00792999">
        <w:rPr>
          <w:rFonts w:ascii="Times New Roman" w:hAnsi="Times New Roman" w:cs="Times New Roman"/>
        </w:rPr>
        <w:t xml:space="preserve"> or by formulating new statutes that allow recovery. </w:t>
      </w:r>
      <w:r w:rsidR="008E5B30">
        <w:rPr>
          <w:rFonts w:ascii="Times New Roman" w:hAnsi="Times New Roman" w:cs="Times New Roman"/>
        </w:rPr>
        <w:t xml:space="preserve"> Tribes may be positioned to sue based on their status as </w:t>
      </w:r>
      <w:r w:rsidR="00927B4C">
        <w:rPr>
          <w:rFonts w:ascii="Times New Roman" w:hAnsi="Times New Roman" w:cs="Times New Roman"/>
        </w:rPr>
        <w:t xml:space="preserve">sovereign </w:t>
      </w:r>
      <w:r w:rsidR="008E5B30">
        <w:rPr>
          <w:rFonts w:ascii="Times New Roman" w:hAnsi="Times New Roman" w:cs="Times New Roman"/>
        </w:rPr>
        <w:t xml:space="preserve">co-trustees and through the assertion of federal treaty rights.  </w:t>
      </w:r>
      <w:r w:rsidR="00B92FCB" w:rsidRPr="00792999">
        <w:rPr>
          <w:rFonts w:ascii="Times New Roman" w:hAnsi="Times New Roman" w:cs="Times New Roman"/>
        </w:rPr>
        <w:t xml:space="preserve">Nations around the world </w:t>
      </w:r>
      <w:r w:rsidR="00B92FCB">
        <w:rPr>
          <w:rFonts w:ascii="Times New Roman" w:hAnsi="Times New Roman" w:cs="Times New Roman"/>
        </w:rPr>
        <w:t xml:space="preserve">are also situated to render liability judgments in their own countries and then enforce such judgments </w:t>
      </w:r>
      <w:r w:rsidRPr="00792999">
        <w:rPr>
          <w:rFonts w:ascii="Times New Roman" w:hAnsi="Times New Roman" w:cs="Times New Roman"/>
        </w:rPr>
        <w:t>in the countries that hold the assets of the corporations. The liabil</w:t>
      </w:r>
      <w:r w:rsidR="001E17A8">
        <w:rPr>
          <w:rFonts w:ascii="Times New Roman" w:hAnsi="Times New Roman" w:cs="Times New Roman"/>
        </w:rPr>
        <w:t xml:space="preserve">ity framework is set forth in a published </w:t>
      </w:r>
      <w:r w:rsidRPr="00792999">
        <w:rPr>
          <w:rFonts w:ascii="Times New Roman" w:hAnsi="Times New Roman" w:cs="Times New Roman"/>
        </w:rPr>
        <w:t xml:space="preserve">article: Mary Christina Wood &amp; Dan Galpern, </w:t>
      </w:r>
      <w:r w:rsidRPr="00792999">
        <w:rPr>
          <w:rFonts w:ascii="Times" w:hAnsi="Times" w:cs="Times"/>
          <w:i/>
          <w:iCs/>
        </w:rPr>
        <w:t>Atmospheric Recovery Litigation: Making the Fossil Fuel Industry Pay for Damages to the Atmosphere from Carbon Pollution</w:t>
      </w:r>
      <w:r w:rsidRPr="00792999">
        <w:rPr>
          <w:rFonts w:ascii="Times New Roman" w:hAnsi="Times New Roman" w:cs="Times New Roman"/>
        </w:rPr>
        <w:t xml:space="preserve">, ENVIRONMENTAL LAW (2015), </w:t>
      </w:r>
      <w:r w:rsidR="001B6400">
        <w:rPr>
          <w:rFonts w:ascii="Times New Roman" w:hAnsi="Times New Roman" w:cs="Times New Roman"/>
        </w:rPr>
        <w:t>pre-publication draft</w:t>
      </w:r>
      <w:r w:rsidRPr="00792999">
        <w:rPr>
          <w:rFonts w:ascii="Times New Roman" w:hAnsi="Times New Roman" w:cs="Times New Roman"/>
        </w:rPr>
        <w:t xml:space="preserve"> available at http://law.uoregon.edu/faculty/mwood/publications/. </w:t>
      </w:r>
      <w:r w:rsidR="00235397">
        <w:rPr>
          <w:rFonts w:ascii="Times New Roman" w:hAnsi="Times New Roman" w:cs="Times New Roman"/>
        </w:rPr>
        <w:t xml:space="preserve"> The Conservation Trust Project is developing a white paper setting forth</w:t>
      </w:r>
      <w:r w:rsidR="00927B4C">
        <w:rPr>
          <w:rFonts w:ascii="Times New Roman" w:hAnsi="Times New Roman" w:cs="Times New Roman"/>
        </w:rPr>
        <w:t xml:space="preserve"> conceptual</w:t>
      </w:r>
      <w:r w:rsidR="00235397">
        <w:rPr>
          <w:rFonts w:ascii="Times New Roman" w:hAnsi="Times New Roman" w:cs="Times New Roman"/>
        </w:rPr>
        <w:t xml:space="preserve"> “litigation pathways” to recovering NRDs</w:t>
      </w:r>
      <w:r w:rsidR="00B519F8">
        <w:rPr>
          <w:rFonts w:ascii="Times New Roman" w:hAnsi="Times New Roman" w:cs="Times New Roman"/>
        </w:rPr>
        <w:t>.</w:t>
      </w:r>
    </w:p>
    <w:p w14:paraId="68E7F642" w14:textId="52F794CC" w:rsidR="00FE2C51" w:rsidRDefault="00927B4C" w:rsidP="00792999">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summary, t</w:t>
      </w:r>
      <w:r w:rsidR="00792999" w:rsidRPr="00792999">
        <w:rPr>
          <w:rFonts w:ascii="Times New Roman" w:hAnsi="Times New Roman" w:cs="Times New Roman"/>
        </w:rPr>
        <w:t xml:space="preserve">he project of atmospheric drawdown must be accomplished through collaboration among various disciplines. The component steps are: 1) create and implement a litigation </w:t>
      </w:r>
      <w:r w:rsidR="00B519F8">
        <w:rPr>
          <w:rFonts w:ascii="Times New Roman" w:hAnsi="Times New Roman" w:cs="Times New Roman"/>
        </w:rPr>
        <w:t>approach for</w:t>
      </w:r>
      <w:r w:rsidR="000371C1">
        <w:rPr>
          <w:rFonts w:ascii="Times New Roman" w:hAnsi="Times New Roman" w:cs="Times New Roman"/>
        </w:rPr>
        <w:t xml:space="preserve"> </w:t>
      </w:r>
      <w:r w:rsidR="0056497A">
        <w:rPr>
          <w:rFonts w:ascii="Times New Roman" w:hAnsi="Times New Roman" w:cs="Times New Roman"/>
        </w:rPr>
        <w:t>state, tribal, and/or foreign nation</w:t>
      </w:r>
      <w:r w:rsidR="000371C1">
        <w:rPr>
          <w:rFonts w:ascii="Times New Roman" w:hAnsi="Times New Roman" w:cs="Times New Roman"/>
        </w:rPr>
        <w:t xml:space="preserve"> </w:t>
      </w:r>
      <w:r w:rsidR="0056497A">
        <w:rPr>
          <w:rFonts w:ascii="Times New Roman" w:hAnsi="Times New Roman" w:cs="Times New Roman"/>
        </w:rPr>
        <w:t>co-</w:t>
      </w:r>
      <w:r w:rsidR="000371C1">
        <w:rPr>
          <w:rFonts w:ascii="Times New Roman" w:hAnsi="Times New Roman" w:cs="Times New Roman"/>
        </w:rPr>
        <w:t>trustees to recover atmospheric natural resource damages; 2</w:t>
      </w:r>
      <w:r w:rsidR="00792999" w:rsidRPr="00792999">
        <w:rPr>
          <w:rFonts w:ascii="Times New Roman" w:hAnsi="Times New Roman" w:cs="Times New Roman"/>
        </w:rPr>
        <w:t xml:space="preserve">) </w:t>
      </w:r>
      <w:r w:rsidR="000371C1">
        <w:rPr>
          <w:rFonts w:ascii="Times New Roman" w:hAnsi="Times New Roman" w:cs="Times New Roman"/>
        </w:rPr>
        <w:t xml:space="preserve">create an Atmospheric Recovery Institute to </w:t>
      </w:r>
      <w:r w:rsidR="00812A87">
        <w:rPr>
          <w:rFonts w:ascii="Times New Roman" w:hAnsi="Times New Roman" w:cs="Times New Roman"/>
        </w:rPr>
        <w:t xml:space="preserve">both </w:t>
      </w:r>
      <w:r w:rsidR="00792999" w:rsidRPr="00792999">
        <w:rPr>
          <w:rFonts w:ascii="Times New Roman" w:hAnsi="Times New Roman" w:cs="Times New Roman"/>
        </w:rPr>
        <w:t>formulate an atmospheric recovery plan consisting of high-yield projects situated in</w:t>
      </w:r>
      <w:r w:rsidR="000371C1">
        <w:rPr>
          <w:rFonts w:ascii="Times New Roman" w:hAnsi="Times New Roman" w:cs="Times New Roman"/>
        </w:rPr>
        <w:t xml:space="preserve"> nations throughout the world</w:t>
      </w:r>
      <w:r w:rsidR="00812A87">
        <w:rPr>
          <w:rFonts w:ascii="Times New Roman" w:hAnsi="Times New Roman" w:cs="Times New Roman"/>
        </w:rPr>
        <w:t>,</w:t>
      </w:r>
      <w:r w:rsidR="000371C1">
        <w:rPr>
          <w:rFonts w:ascii="Times New Roman" w:hAnsi="Times New Roman" w:cs="Times New Roman"/>
        </w:rPr>
        <w:t xml:space="preserve"> and </w:t>
      </w:r>
      <w:r w:rsidR="000371C1" w:rsidRPr="00792999">
        <w:rPr>
          <w:rFonts w:ascii="Times New Roman" w:hAnsi="Times New Roman" w:cs="Times New Roman"/>
        </w:rPr>
        <w:t>to perform update</w:t>
      </w:r>
      <w:r w:rsidR="000371C1">
        <w:rPr>
          <w:rFonts w:ascii="Times New Roman" w:hAnsi="Times New Roman" w:cs="Times New Roman"/>
        </w:rPr>
        <w:t>d</w:t>
      </w:r>
      <w:r w:rsidR="000371C1" w:rsidRPr="00792999">
        <w:rPr>
          <w:rFonts w:ascii="Times New Roman" w:hAnsi="Times New Roman" w:cs="Times New Roman"/>
        </w:rPr>
        <w:t xml:space="preserve"> global carbon accountings assess</w:t>
      </w:r>
      <w:r w:rsidR="000371C1">
        <w:rPr>
          <w:rFonts w:ascii="Times New Roman" w:hAnsi="Times New Roman" w:cs="Times New Roman"/>
        </w:rPr>
        <w:t>ing</w:t>
      </w:r>
      <w:r w:rsidR="000371C1" w:rsidRPr="00792999">
        <w:rPr>
          <w:rFonts w:ascii="Times New Roman" w:hAnsi="Times New Roman" w:cs="Times New Roman"/>
        </w:rPr>
        <w:t xml:space="preserve"> overall progress towards the necessary drawdown;</w:t>
      </w:r>
      <w:r w:rsidR="000371C1">
        <w:rPr>
          <w:rFonts w:ascii="Times New Roman" w:hAnsi="Times New Roman" w:cs="Times New Roman"/>
        </w:rPr>
        <w:t xml:space="preserve"> 3</w:t>
      </w:r>
      <w:r w:rsidR="00792999" w:rsidRPr="00792999">
        <w:rPr>
          <w:rFonts w:ascii="Times New Roman" w:hAnsi="Times New Roman" w:cs="Times New Roman"/>
        </w:rPr>
        <w:t xml:space="preserve">) design an implementation structure </w:t>
      </w:r>
      <w:r w:rsidR="000371C1">
        <w:rPr>
          <w:rFonts w:ascii="Times New Roman" w:hAnsi="Times New Roman" w:cs="Times New Roman"/>
        </w:rPr>
        <w:t>(Sky Trust</w:t>
      </w:r>
      <w:r w:rsidR="00792999" w:rsidRPr="00792999">
        <w:rPr>
          <w:rFonts w:ascii="Times New Roman" w:hAnsi="Times New Roman" w:cs="Times New Roman"/>
        </w:rPr>
        <w:t>) that can r</w:t>
      </w:r>
      <w:r w:rsidR="000371C1">
        <w:rPr>
          <w:rFonts w:ascii="Times New Roman" w:hAnsi="Times New Roman" w:cs="Times New Roman"/>
        </w:rPr>
        <w:t xml:space="preserve">eceive natural resource damages, </w:t>
      </w:r>
      <w:r w:rsidR="00792999" w:rsidRPr="00792999">
        <w:rPr>
          <w:rFonts w:ascii="Times New Roman" w:hAnsi="Times New Roman" w:cs="Times New Roman"/>
        </w:rPr>
        <w:t>apply th</w:t>
      </w:r>
      <w:r w:rsidR="000371C1">
        <w:rPr>
          <w:rFonts w:ascii="Times New Roman" w:hAnsi="Times New Roman" w:cs="Times New Roman"/>
        </w:rPr>
        <w:t xml:space="preserve">e funds to restoration projects, and monitor their </w:t>
      </w:r>
      <w:r w:rsidR="00812A87">
        <w:rPr>
          <w:rFonts w:ascii="Times New Roman" w:hAnsi="Times New Roman" w:cs="Times New Roman"/>
        </w:rPr>
        <w:t>completion</w:t>
      </w:r>
      <w:r w:rsidR="000371C1">
        <w:rPr>
          <w:rFonts w:ascii="Times New Roman" w:hAnsi="Times New Roman" w:cs="Times New Roman"/>
        </w:rPr>
        <w:t xml:space="preserve">.  </w:t>
      </w:r>
      <w:r w:rsidR="001A058F">
        <w:rPr>
          <w:rFonts w:ascii="Times New Roman" w:hAnsi="Times New Roman" w:cs="Times New Roman"/>
        </w:rPr>
        <w:t xml:space="preserve">The Conservation Trust Project is developing white papers addressing all three components of this effort.  </w:t>
      </w:r>
      <w:r w:rsidR="00792999" w:rsidRPr="00792999">
        <w:rPr>
          <w:rFonts w:ascii="Times New Roman" w:hAnsi="Times New Roman" w:cs="Times New Roman"/>
        </w:rPr>
        <w:t xml:space="preserve">While a global restoration effort on this scale is unprecedented, the underlying legal principles and approach are strikingly similar to those traditionally applied to discrete ecosystems. </w:t>
      </w:r>
      <w:r w:rsidR="00AF58B4">
        <w:rPr>
          <w:rFonts w:ascii="Times New Roman" w:hAnsi="Times New Roman" w:cs="Times New Roman"/>
        </w:rPr>
        <w:t xml:space="preserve"> </w:t>
      </w:r>
    </w:p>
    <w:p w14:paraId="5F4372AA" w14:textId="08F4793D" w:rsidR="00792999" w:rsidRDefault="00FE2C51" w:rsidP="002E5A81">
      <w:pPr>
        <w:rPr>
          <w:rFonts w:ascii="Times New Roman" w:eastAsia="Times New Roman" w:hAnsi="Times New Roman" w:cs="Times New Roman"/>
          <w:bCs/>
          <w:kern w:val="36"/>
          <w:lang w:eastAsia="en-US"/>
        </w:rPr>
      </w:pPr>
      <w:r>
        <w:rPr>
          <w:rFonts w:ascii="Times New Roman" w:hAnsi="Times New Roman" w:cs="Times New Roman"/>
        </w:rPr>
        <w:t>In the end, the</w:t>
      </w:r>
      <w:r w:rsidR="00AF58B4">
        <w:rPr>
          <w:rFonts w:ascii="Times New Roman" w:hAnsi="Times New Roman" w:cs="Times New Roman"/>
        </w:rPr>
        <w:t xml:space="preserve"> ambition of climate recovery must match the threat posed by climate disruption.</w:t>
      </w:r>
      <w:r>
        <w:rPr>
          <w:rFonts w:ascii="Times New Roman" w:hAnsi="Times New Roman" w:cs="Times New Roman"/>
        </w:rPr>
        <w:t xml:space="preserve">  As Winston Churchill famously declared, </w:t>
      </w:r>
      <w:r w:rsidR="002E5A81" w:rsidRPr="002E5A81">
        <w:rPr>
          <w:rFonts w:ascii="Times New Roman" w:eastAsia="Times New Roman" w:hAnsi="Times New Roman" w:cs="Times New Roman"/>
          <w:bCs/>
          <w:kern w:val="36"/>
          <w:lang w:eastAsia="en-US"/>
        </w:rPr>
        <w:t xml:space="preserve">“It is not enough that we do our best; sometimes we must do what is required.” </w:t>
      </w:r>
    </w:p>
    <w:p w14:paraId="6D989371" w14:textId="77777777" w:rsidR="00430019" w:rsidRPr="002E5A81" w:rsidRDefault="00430019" w:rsidP="002E5A81">
      <w:pPr>
        <w:rPr>
          <w:rFonts w:ascii="Times" w:eastAsia="Times New Roman" w:hAnsi="Times" w:cs="Times New Roman"/>
          <w:sz w:val="20"/>
          <w:szCs w:val="20"/>
          <w:lang w:eastAsia="en-US"/>
        </w:rPr>
      </w:pPr>
    </w:p>
    <w:p w14:paraId="43A4FF7D" w14:textId="77777777" w:rsidR="00792999" w:rsidRPr="00792999" w:rsidRDefault="00792999" w:rsidP="00792999">
      <w:pPr>
        <w:widowControl w:val="0"/>
        <w:autoSpaceDE w:val="0"/>
        <w:autoSpaceDN w:val="0"/>
        <w:adjustRightInd w:val="0"/>
        <w:spacing w:after="240"/>
        <w:rPr>
          <w:rFonts w:ascii="Times" w:hAnsi="Times" w:cs="Times"/>
        </w:rPr>
      </w:pPr>
      <w:r w:rsidRPr="00792999">
        <w:rPr>
          <w:rFonts w:ascii="Cambria" w:hAnsi="Cambria" w:cs="Cambria"/>
          <w:b/>
          <w:bCs/>
          <w:i/>
          <w:iCs/>
        </w:rPr>
        <w:t xml:space="preserve">Authored by: </w:t>
      </w:r>
    </w:p>
    <w:p w14:paraId="2BEA284A" w14:textId="77777777" w:rsidR="00792999" w:rsidRPr="00792999" w:rsidRDefault="00792999" w:rsidP="00792999">
      <w:pPr>
        <w:widowControl w:val="0"/>
        <w:autoSpaceDE w:val="0"/>
        <w:autoSpaceDN w:val="0"/>
        <w:adjustRightInd w:val="0"/>
        <w:spacing w:after="240"/>
        <w:rPr>
          <w:rFonts w:ascii="Times" w:hAnsi="Times" w:cs="Times"/>
        </w:rPr>
      </w:pPr>
      <w:r w:rsidRPr="00792999">
        <w:rPr>
          <w:rFonts w:ascii="Cambria" w:hAnsi="Cambria" w:cs="Cambria"/>
          <w:b/>
          <w:bCs/>
        </w:rPr>
        <w:t xml:space="preserve">Mary Christina Wood </w:t>
      </w:r>
    </w:p>
    <w:p w14:paraId="51187C78" w14:textId="0C6F74F3" w:rsidR="00792999" w:rsidRPr="00792999" w:rsidRDefault="00792999" w:rsidP="00792999">
      <w:pPr>
        <w:widowControl w:val="0"/>
        <w:autoSpaceDE w:val="0"/>
        <w:autoSpaceDN w:val="0"/>
        <w:adjustRightInd w:val="0"/>
        <w:spacing w:after="240"/>
        <w:rPr>
          <w:rFonts w:ascii="Times" w:hAnsi="Times" w:cs="Times"/>
        </w:rPr>
      </w:pPr>
      <w:r w:rsidRPr="00792999">
        <w:rPr>
          <w:rFonts w:ascii="Cambria" w:hAnsi="Cambria" w:cs="Cambria"/>
        </w:rPr>
        <w:t>Philip H. Knight Professor of Law Faculty Director, Environmental &amp; Natural Resources Law Center Faculty Co-Leader, Conservation Trust Project</w:t>
      </w:r>
      <w:r w:rsidR="00AF58B4">
        <w:rPr>
          <w:rFonts w:ascii="Cambria" w:hAnsi="Cambria" w:cs="Cambria"/>
        </w:rPr>
        <w:t>.</w:t>
      </w:r>
      <w:r w:rsidRPr="00792999">
        <w:rPr>
          <w:rFonts w:ascii="Cambria" w:hAnsi="Cambria" w:cs="Cambria"/>
        </w:rPr>
        <w:t xml:space="preserve"> </w:t>
      </w:r>
    </w:p>
    <w:p w14:paraId="336BDC6A" w14:textId="77777777" w:rsidR="00792999" w:rsidRPr="00792999" w:rsidRDefault="00792999" w:rsidP="00792999">
      <w:pPr>
        <w:widowControl w:val="0"/>
        <w:autoSpaceDE w:val="0"/>
        <w:autoSpaceDN w:val="0"/>
        <w:adjustRightInd w:val="0"/>
        <w:rPr>
          <w:rFonts w:ascii="Times" w:hAnsi="Times" w:cs="Times"/>
        </w:rPr>
      </w:pPr>
      <w:r w:rsidRPr="00792999">
        <w:rPr>
          <w:rFonts w:ascii="Times" w:hAnsi="Times" w:cs="Times"/>
          <w:noProof/>
          <w:lang w:eastAsia="en-US"/>
        </w:rPr>
        <w:drawing>
          <wp:inline distT="0" distB="0" distL="0" distR="0" wp14:anchorId="21E6BB37" wp14:editId="2BA8E87A">
            <wp:extent cx="7620" cy="23241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32410"/>
                    </a:xfrm>
                    <a:prstGeom prst="rect">
                      <a:avLst/>
                    </a:prstGeom>
                    <a:noFill/>
                    <a:ln>
                      <a:noFill/>
                    </a:ln>
                  </pic:spPr>
                </pic:pic>
              </a:graphicData>
            </a:graphic>
          </wp:inline>
        </w:drawing>
      </w:r>
      <w:r w:rsidRPr="00792999">
        <w:rPr>
          <w:rFonts w:ascii="Times" w:hAnsi="Times" w:cs="Times"/>
        </w:rPr>
        <w:t xml:space="preserve"> </w:t>
      </w:r>
    </w:p>
    <w:p w14:paraId="4BF399A9" w14:textId="77777777" w:rsidR="00AC58AC" w:rsidRPr="00792999" w:rsidRDefault="00AC58AC"/>
    <w:sectPr w:rsidR="00AC58AC" w:rsidRPr="00792999" w:rsidSect="00503463">
      <w:headerReference w:type="even"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9B4AB" w14:textId="77777777" w:rsidR="00FD46BE" w:rsidRDefault="00FD46BE" w:rsidP="00772268">
      <w:r>
        <w:separator/>
      </w:r>
    </w:p>
  </w:endnote>
  <w:endnote w:type="continuationSeparator" w:id="0">
    <w:p w14:paraId="77A5DC2F" w14:textId="77777777" w:rsidR="00FD46BE" w:rsidRDefault="00FD46BE" w:rsidP="007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1FF3" w14:textId="77777777" w:rsidR="00FD46BE" w:rsidRDefault="00FD46BE" w:rsidP="00FD4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29268" w14:textId="77777777" w:rsidR="00FD46BE" w:rsidRDefault="00FD46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841F" w14:textId="77777777" w:rsidR="00FD46BE" w:rsidRDefault="00FD46BE" w:rsidP="00FD4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544">
      <w:rPr>
        <w:rStyle w:val="PageNumber"/>
        <w:noProof/>
      </w:rPr>
      <w:t>1</w:t>
    </w:r>
    <w:r>
      <w:rPr>
        <w:rStyle w:val="PageNumber"/>
      </w:rPr>
      <w:fldChar w:fldCharType="end"/>
    </w:r>
  </w:p>
  <w:p w14:paraId="0E7AC0E8" w14:textId="77777777" w:rsidR="00FD46BE" w:rsidRDefault="00FD4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C0CA" w14:textId="77777777" w:rsidR="00FD46BE" w:rsidRDefault="00FD46BE" w:rsidP="00772268">
      <w:r>
        <w:separator/>
      </w:r>
    </w:p>
  </w:footnote>
  <w:footnote w:type="continuationSeparator" w:id="0">
    <w:p w14:paraId="671C8D43" w14:textId="77777777" w:rsidR="00FD46BE" w:rsidRDefault="00FD46BE" w:rsidP="00772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1297" w14:textId="77777777" w:rsidR="00FD46BE" w:rsidRDefault="00FD46BE" w:rsidP="002717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B3F27" w14:textId="77777777" w:rsidR="00FD46BE" w:rsidRDefault="00FD4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99"/>
    <w:rsid w:val="000371C1"/>
    <w:rsid w:val="000512D6"/>
    <w:rsid w:val="0005424C"/>
    <w:rsid w:val="000C5889"/>
    <w:rsid w:val="001A058F"/>
    <w:rsid w:val="001B6400"/>
    <w:rsid w:val="001C05B9"/>
    <w:rsid w:val="001E17A8"/>
    <w:rsid w:val="002347AD"/>
    <w:rsid w:val="00235397"/>
    <w:rsid w:val="00240E07"/>
    <w:rsid w:val="002623D1"/>
    <w:rsid w:val="0027176F"/>
    <w:rsid w:val="002E5A81"/>
    <w:rsid w:val="002E6460"/>
    <w:rsid w:val="00311076"/>
    <w:rsid w:val="0037100B"/>
    <w:rsid w:val="003A2533"/>
    <w:rsid w:val="003B5E65"/>
    <w:rsid w:val="00430019"/>
    <w:rsid w:val="00497F66"/>
    <w:rsid w:val="00503463"/>
    <w:rsid w:val="00551052"/>
    <w:rsid w:val="0056497A"/>
    <w:rsid w:val="00772268"/>
    <w:rsid w:val="00792999"/>
    <w:rsid w:val="00812A87"/>
    <w:rsid w:val="0089060C"/>
    <w:rsid w:val="008E5B30"/>
    <w:rsid w:val="00927B4C"/>
    <w:rsid w:val="00931ED5"/>
    <w:rsid w:val="00AA75F0"/>
    <w:rsid w:val="00AC58AC"/>
    <w:rsid w:val="00AF58B4"/>
    <w:rsid w:val="00B519F8"/>
    <w:rsid w:val="00B92FCB"/>
    <w:rsid w:val="00CC702A"/>
    <w:rsid w:val="00DD4C9D"/>
    <w:rsid w:val="00E001A8"/>
    <w:rsid w:val="00E81544"/>
    <w:rsid w:val="00ED2BA0"/>
    <w:rsid w:val="00F0460C"/>
    <w:rsid w:val="00FD46BE"/>
    <w:rsid w:val="00FE2C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D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E5A8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99"/>
    <w:rPr>
      <w:rFonts w:ascii="Lucida Grande" w:hAnsi="Lucida Grande" w:cs="Lucida Grande"/>
      <w:sz w:val="18"/>
      <w:szCs w:val="18"/>
    </w:rPr>
  </w:style>
  <w:style w:type="character" w:customStyle="1" w:styleId="Heading1Char">
    <w:name w:val="Heading 1 Char"/>
    <w:basedOn w:val="DefaultParagraphFont"/>
    <w:link w:val="Heading1"/>
    <w:uiPriority w:val="9"/>
    <w:rsid w:val="002E5A81"/>
    <w:rPr>
      <w:rFonts w:ascii="Times" w:hAnsi="Times"/>
      <w:b/>
      <w:bCs/>
      <w:kern w:val="36"/>
      <w:sz w:val="48"/>
      <w:szCs w:val="48"/>
      <w:lang w:eastAsia="en-US"/>
    </w:rPr>
  </w:style>
  <w:style w:type="paragraph" w:styleId="Header">
    <w:name w:val="header"/>
    <w:basedOn w:val="Normal"/>
    <w:link w:val="HeaderChar"/>
    <w:uiPriority w:val="99"/>
    <w:unhideWhenUsed/>
    <w:rsid w:val="00772268"/>
    <w:pPr>
      <w:tabs>
        <w:tab w:val="center" w:pos="4320"/>
        <w:tab w:val="right" w:pos="8640"/>
      </w:tabs>
    </w:pPr>
  </w:style>
  <w:style w:type="character" w:customStyle="1" w:styleId="HeaderChar">
    <w:name w:val="Header Char"/>
    <w:basedOn w:val="DefaultParagraphFont"/>
    <w:link w:val="Header"/>
    <w:uiPriority w:val="99"/>
    <w:rsid w:val="00772268"/>
    <w:rPr>
      <w:sz w:val="24"/>
      <w:szCs w:val="24"/>
    </w:rPr>
  </w:style>
  <w:style w:type="paragraph" w:styleId="Footer">
    <w:name w:val="footer"/>
    <w:basedOn w:val="Normal"/>
    <w:link w:val="FooterChar"/>
    <w:uiPriority w:val="99"/>
    <w:unhideWhenUsed/>
    <w:rsid w:val="00772268"/>
    <w:pPr>
      <w:tabs>
        <w:tab w:val="center" w:pos="4320"/>
        <w:tab w:val="right" w:pos="8640"/>
      </w:tabs>
    </w:pPr>
  </w:style>
  <w:style w:type="character" w:customStyle="1" w:styleId="FooterChar">
    <w:name w:val="Footer Char"/>
    <w:basedOn w:val="DefaultParagraphFont"/>
    <w:link w:val="Footer"/>
    <w:uiPriority w:val="99"/>
    <w:rsid w:val="00772268"/>
    <w:rPr>
      <w:sz w:val="24"/>
      <w:szCs w:val="24"/>
    </w:rPr>
  </w:style>
  <w:style w:type="character" w:styleId="PageNumber">
    <w:name w:val="page number"/>
    <w:basedOn w:val="DefaultParagraphFont"/>
    <w:uiPriority w:val="99"/>
    <w:semiHidden/>
    <w:unhideWhenUsed/>
    <w:rsid w:val="00772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E5A8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99"/>
    <w:rPr>
      <w:rFonts w:ascii="Lucida Grande" w:hAnsi="Lucida Grande" w:cs="Lucida Grande"/>
      <w:sz w:val="18"/>
      <w:szCs w:val="18"/>
    </w:rPr>
  </w:style>
  <w:style w:type="character" w:customStyle="1" w:styleId="Heading1Char">
    <w:name w:val="Heading 1 Char"/>
    <w:basedOn w:val="DefaultParagraphFont"/>
    <w:link w:val="Heading1"/>
    <w:uiPriority w:val="9"/>
    <w:rsid w:val="002E5A81"/>
    <w:rPr>
      <w:rFonts w:ascii="Times" w:hAnsi="Times"/>
      <w:b/>
      <w:bCs/>
      <w:kern w:val="36"/>
      <w:sz w:val="48"/>
      <w:szCs w:val="48"/>
      <w:lang w:eastAsia="en-US"/>
    </w:rPr>
  </w:style>
  <w:style w:type="paragraph" w:styleId="Header">
    <w:name w:val="header"/>
    <w:basedOn w:val="Normal"/>
    <w:link w:val="HeaderChar"/>
    <w:uiPriority w:val="99"/>
    <w:unhideWhenUsed/>
    <w:rsid w:val="00772268"/>
    <w:pPr>
      <w:tabs>
        <w:tab w:val="center" w:pos="4320"/>
        <w:tab w:val="right" w:pos="8640"/>
      </w:tabs>
    </w:pPr>
  </w:style>
  <w:style w:type="character" w:customStyle="1" w:styleId="HeaderChar">
    <w:name w:val="Header Char"/>
    <w:basedOn w:val="DefaultParagraphFont"/>
    <w:link w:val="Header"/>
    <w:uiPriority w:val="99"/>
    <w:rsid w:val="00772268"/>
    <w:rPr>
      <w:sz w:val="24"/>
      <w:szCs w:val="24"/>
    </w:rPr>
  </w:style>
  <w:style w:type="paragraph" w:styleId="Footer">
    <w:name w:val="footer"/>
    <w:basedOn w:val="Normal"/>
    <w:link w:val="FooterChar"/>
    <w:uiPriority w:val="99"/>
    <w:unhideWhenUsed/>
    <w:rsid w:val="00772268"/>
    <w:pPr>
      <w:tabs>
        <w:tab w:val="center" w:pos="4320"/>
        <w:tab w:val="right" w:pos="8640"/>
      </w:tabs>
    </w:pPr>
  </w:style>
  <w:style w:type="character" w:customStyle="1" w:styleId="FooterChar">
    <w:name w:val="Footer Char"/>
    <w:basedOn w:val="DefaultParagraphFont"/>
    <w:link w:val="Footer"/>
    <w:uiPriority w:val="99"/>
    <w:rsid w:val="00772268"/>
    <w:rPr>
      <w:sz w:val="24"/>
      <w:szCs w:val="24"/>
    </w:rPr>
  </w:style>
  <w:style w:type="character" w:styleId="PageNumber">
    <w:name w:val="page number"/>
    <w:basedOn w:val="DefaultParagraphFont"/>
    <w:uiPriority w:val="99"/>
    <w:semiHidden/>
    <w:unhideWhenUsed/>
    <w:rsid w:val="0077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20702">
      <w:bodyDiv w:val="1"/>
      <w:marLeft w:val="0"/>
      <w:marRight w:val="0"/>
      <w:marTop w:val="0"/>
      <w:marBottom w:val="0"/>
      <w:divBdr>
        <w:top w:val="none" w:sz="0" w:space="0" w:color="auto"/>
        <w:left w:val="none" w:sz="0" w:space="0" w:color="auto"/>
        <w:bottom w:val="none" w:sz="0" w:space="0" w:color="auto"/>
        <w:right w:val="none" w:sz="0" w:space="0" w:color="auto"/>
      </w:divBdr>
      <w:divsChild>
        <w:div w:id="282274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8657</Characters>
  <Application>Microsoft Macintosh Word</Application>
  <DocSecurity>0</DocSecurity>
  <Lines>72</Lines>
  <Paragraphs>20</Paragraphs>
  <ScaleCrop>false</ScaleCrop>
  <Company>UO School of Law</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dc:creator>
  <cp:keywords/>
  <dc:description/>
  <cp:lastModifiedBy>Apollonia Goeckner</cp:lastModifiedBy>
  <cp:revision>3</cp:revision>
  <cp:lastPrinted>2017-05-13T17:43:00Z</cp:lastPrinted>
  <dcterms:created xsi:type="dcterms:W3CDTF">2017-06-09T17:26:00Z</dcterms:created>
  <dcterms:modified xsi:type="dcterms:W3CDTF">2017-08-15T20:27:00Z</dcterms:modified>
</cp:coreProperties>
</file>