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3DE" w:rsidRPr="00DD53DE" w:rsidRDefault="00DD53DE" w:rsidP="000A3979">
      <w:pPr>
        <w:autoSpaceDE w:val="0"/>
        <w:autoSpaceDN w:val="0"/>
        <w:adjustRightInd w:val="0"/>
        <w:spacing w:line="480" w:lineRule="auto"/>
        <w:jc w:val="center"/>
        <w:rPr>
          <w:rFonts w:ascii="Times New Roman" w:hAnsi="Times New Roman" w:cs="Times New Roman"/>
          <w:b/>
          <w:bCs/>
          <w:sz w:val="32"/>
          <w:szCs w:val="32"/>
        </w:rPr>
      </w:pPr>
      <w:r>
        <w:rPr>
          <w:rFonts w:ascii="Times New Roman" w:hAnsi="Times New Roman" w:cs="Times New Roman"/>
          <w:b/>
          <w:bCs/>
          <w:sz w:val="32"/>
          <w:szCs w:val="32"/>
        </w:rPr>
        <w:t>DRAFT</w:t>
      </w:r>
    </w:p>
    <w:p w:rsidR="00DD53DE" w:rsidRDefault="00DD53DE" w:rsidP="000A3979">
      <w:pPr>
        <w:autoSpaceDE w:val="0"/>
        <w:autoSpaceDN w:val="0"/>
        <w:adjustRightInd w:val="0"/>
        <w:spacing w:line="480" w:lineRule="auto"/>
        <w:jc w:val="center"/>
        <w:rPr>
          <w:rFonts w:ascii="Times New Roman" w:hAnsi="Times New Roman" w:cs="Times New Roman"/>
        </w:rPr>
      </w:pPr>
      <w:bookmarkStart w:id="0" w:name="_GoBack"/>
      <w:bookmarkEnd w:id="0"/>
    </w:p>
    <w:p w:rsidR="000A3979" w:rsidRPr="00320ADF" w:rsidRDefault="000A3979" w:rsidP="000A3979">
      <w:pPr>
        <w:autoSpaceDE w:val="0"/>
        <w:autoSpaceDN w:val="0"/>
        <w:adjustRightInd w:val="0"/>
        <w:spacing w:line="480" w:lineRule="auto"/>
        <w:jc w:val="center"/>
        <w:rPr>
          <w:rFonts w:ascii="Times New Roman" w:hAnsi="Times New Roman" w:cs="Times New Roman"/>
        </w:rPr>
      </w:pPr>
      <w:r w:rsidRPr="00320ADF">
        <w:rPr>
          <w:rFonts w:ascii="Times New Roman" w:hAnsi="Times New Roman" w:cs="Times New Roman"/>
        </w:rPr>
        <w:t>ATMOSPHERIC RECOVERY LITIGATION AROUND THE WORLD:</w:t>
      </w:r>
    </w:p>
    <w:p w:rsidR="000A3979" w:rsidRPr="00320ADF" w:rsidRDefault="000A3979" w:rsidP="000A3979">
      <w:pPr>
        <w:autoSpaceDE w:val="0"/>
        <w:autoSpaceDN w:val="0"/>
        <w:adjustRightInd w:val="0"/>
        <w:spacing w:line="480" w:lineRule="auto"/>
        <w:jc w:val="center"/>
        <w:rPr>
          <w:rFonts w:ascii="Times New Roman" w:hAnsi="Times New Roman" w:cs="Times New Roman"/>
        </w:rPr>
      </w:pPr>
      <w:r w:rsidRPr="00320ADF">
        <w:rPr>
          <w:rFonts w:ascii="Times New Roman" w:hAnsi="Times New Roman" w:cs="Times New Roman"/>
        </w:rPr>
        <w:t>GAINING NATURAL RESOURCE DAMAGES AGAINST CARBON MAJORS TO FUND A SKY CLEANUP FOR CLIMATE RESTORATION</w:t>
      </w:r>
      <w:r w:rsidRPr="00320ADF">
        <w:rPr>
          <w:rStyle w:val="FootnoteReference"/>
          <w:rFonts w:ascii="Times New Roman" w:hAnsi="Times New Roman" w:cs="Times New Roman"/>
        </w:rPr>
        <w:footnoteReference w:id="1"/>
      </w:r>
    </w:p>
    <w:p w:rsidR="000A3979" w:rsidRPr="00320ADF" w:rsidRDefault="000A3979" w:rsidP="000A3979">
      <w:pPr>
        <w:pStyle w:val="NormalWeb"/>
        <w:spacing w:line="480" w:lineRule="auto"/>
        <w:jc w:val="both"/>
      </w:pPr>
      <w:r w:rsidRPr="00320ADF">
        <w:rPr>
          <w:b/>
          <w:bCs/>
          <w:i/>
          <w:iCs/>
          <w:color w:val="355E8E"/>
        </w:rPr>
        <w:t>In this planetary climate emergency, the level of our ambition must match the scale of the threat</w:t>
      </w:r>
      <w:r w:rsidRPr="00320ADF">
        <w:rPr>
          <w:b/>
          <w:bCs/>
          <w:color w:val="355E8E"/>
        </w:rPr>
        <w:t>.</w:t>
      </w:r>
    </w:p>
    <w:p w:rsidR="000A3979" w:rsidRPr="00320ADF" w:rsidRDefault="000A3979" w:rsidP="000A3979">
      <w:pPr>
        <w:pStyle w:val="ListParagraph"/>
        <w:numPr>
          <w:ilvl w:val="0"/>
          <w:numId w:val="3"/>
        </w:numPr>
        <w:spacing w:line="480" w:lineRule="auto"/>
        <w:jc w:val="both"/>
      </w:pPr>
      <w:r w:rsidRPr="00320ADF">
        <w:rPr>
          <w:b/>
          <w:bCs/>
        </w:rPr>
        <w:t xml:space="preserve">INTRODUCTION </w:t>
      </w:r>
    </w:p>
    <w:p w:rsidR="000A3979" w:rsidRPr="00320ADF" w:rsidRDefault="000A3979" w:rsidP="000A3979">
      <w:pPr>
        <w:autoSpaceDE w:val="0"/>
        <w:autoSpaceDN w:val="0"/>
        <w:adjustRightInd w:val="0"/>
        <w:spacing w:line="480" w:lineRule="auto"/>
        <w:ind w:firstLine="720"/>
        <w:jc w:val="both"/>
        <w:rPr>
          <w:rFonts w:ascii="Times New Roman" w:hAnsi="Times New Roman" w:cs="Times New Roman"/>
        </w:rPr>
      </w:pPr>
      <w:r w:rsidRPr="00320ADF">
        <w:rPr>
          <w:rFonts w:ascii="Times New Roman" w:hAnsi="Times New Roman" w:cs="Times New Roman"/>
        </w:rPr>
        <w:t xml:space="preserve">Stabilizing the planet’s climate system requires a full transition off of carbon intensive fossil fuels by at least midcentury and perhaps much sooner.  But as ambitious as that is, decarbonization alone is not sufficient.  The global mean temperature </w:t>
      </w:r>
      <w:proofErr w:type="gramStart"/>
      <w:r w:rsidRPr="00320ADF">
        <w:rPr>
          <w:rFonts w:ascii="Times New Roman" w:hAnsi="Times New Roman" w:cs="Times New Roman"/>
        </w:rPr>
        <w:t>rise</w:t>
      </w:r>
      <w:proofErr w:type="gramEnd"/>
      <w:r w:rsidRPr="00320ADF">
        <w:rPr>
          <w:rFonts w:ascii="Times New Roman" w:hAnsi="Times New Roman" w:cs="Times New Roman"/>
        </w:rPr>
        <w:t xml:space="preserve"> of almost one degree Centigrade is </w:t>
      </w:r>
      <w:r w:rsidR="00EC4CEF" w:rsidRPr="00320ADF">
        <w:rPr>
          <w:rFonts w:ascii="Times New Roman" w:hAnsi="Times New Roman" w:cs="Times New Roman"/>
        </w:rPr>
        <w:t>the</w:t>
      </w:r>
      <w:r w:rsidRPr="00320ADF">
        <w:rPr>
          <w:rFonts w:ascii="Times New Roman" w:hAnsi="Times New Roman" w:cs="Times New Roman"/>
        </w:rPr>
        <w:t xml:space="preserve"> result of excess carbon emissions already flooding the atmosphere, due to roughly 150 years of industrial-scale greenhouse gas emissions.  Scientists emphasize </w:t>
      </w:r>
      <w:r w:rsidR="0007709C" w:rsidRPr="00320ADF">
        <w:rPr>
          <w:rFonts w:ascii="Times New Roman" w:hAnsi="Times New Roman" w:cs="Times New Roman"/>
        </w:rPr>
        <w:t>the importance of</w:t>
      </w:r>
      <w:r w:rsidRPr="00320ADF">
        <w:rPr>
          <w:rFonts w:ascii="Times New Roman" w:hAnsi="Times New Roman" w:cs="Times New Roman"/>
        </w:rPr>
        <w:t xml:space="preserve"> </w:t>
      </w:r>
      <w:r w:rsidR="0007709C" w:rsidRPr="00320ADF">
        <w:rPr>
          <w:rFonts w:ascii="Times New Roman" w:hAnsi="Times New Roman" w:cs="Times New Roman"/>
        </w:rPr>
        <w:t>drawing down and sequestering</w:t>
      </w:r>
      <w:r w:rsidRPr="00320ADF">
        <w:rPr>
          <w:rFonts w:ascii="Times New Roman" w:hAnsi="Times New Roman" w:cs="Times New Roman"/>
        </w:rPr>
        <w:t xml:space="preserve"> 150 gigatons of “legacy” carbon -- in essence, </w:t>
      </w:r>
      <w:r w:rsidR="0007709C" w:rsidRPr="00320ADF">
        <w:rPr>
          <w:rFonts w:ascii="Times New Roman" w:hAnsi="Times New Roman" w:cs="Times New Roman"/>
        </w:rPr>
        <w:t xml:space="preserve">accomplishing </w:t>
      </w:r>
      <w:r w:rsidRPr="00320ADF">
        <w:rPr>
          <w:rFonts w:ascii="Times New Roman" w:hAnsi="Times New Roman" w:cs="Times New Roman"/>
        </w:rPr>
        <w:t>a cleanup of the sky.</w:t>
      </w:r>
      <w:r w:rsidR="008968FF" w:rsidRPr="00320ADF">
        <w:rPr>
          <w:rStyle w:val="FootnoteReference"/>
          <w:rFonts w:ascii="Times New Roman" w:hAnsi="Times New Roman" w:cs="Times New Roman"/>
        </w:rPr>
        <w:footnoteReference w:id="2"/>
      </w:r>
      <w:r w:rsidRPr="00320ADF">
        <w:rPr>
          <w:rFonts w:ascii="Times New Roman" w:hAnsi="Times New Roman" w:cs="Times New Roman"/>
        </w:rPr>
        <w:t xml:space="preserve">  </w:t>
      </w:r>
    </w:p>
    <w:p w:rsidR="000A3979" w:rsidRPr="00320ADF" w:rsidRDefault="000A3979" w:rsidP="008968FF">
      <w:pPr>
        <w:autoSpaceDE w:val="0"/>
        <w:autoSpaceDN w:val="0"/>
        <w:adjustRightInd w:val="0"/>
        <w:spacing w:line="480" w:lineRule="auto"/>
        <w:ind w:firstLine="720"/>
        <w:jc w:val="both"/>
        <w:rPr>
          <w:rFonts w:ascii="Times New Roman" w:hAnsi="Times New Roman" w:cs="Times New Roman"/>
        </w:rPr>
      </w:pPr>
      <w:r w:rsidRPr="00320ADF">
        <w:rPr>
          <w:rFonts w:ascii="Times New Roman" w:hAnsi="Times New Roman" w:cs="Times New Roman"/>
        </w:rPr>
        <w:t xml:space="preserve">Scientists have developed a suite of methods, known as “natural climate solutions” (NCS) </w:t>
      </w:r>
      <w:r w:rsidR="00592CA9" w:rsidRPr="00320ADF">
        <w:rPr>
          <w:rFonts w:ascii="Times New Roman" w:hAnsi="Times New Roman" w:cs="Times New Roman"/>
        </w:rPr>
        <w:t xml:space="preserve">holding </w:t>
      </w:r>
      <w:r w:rsidRPr="00320ADF">
        <w:rPr>
          <w:rFonts w:ascii="Times New Roman" w:hAnsi="Times New Roman" w:cs="Times New Roman"/>
        </w:rPr>
        <w:t>tremendous potential to draw down and absorb carbon in the soil</w:t>
      </w:r>
      <w:r w:rsidR="0007709C" w:rsidRPr="00320ADF">
        <w:rPr>
          <w:rFonts w:ascii="Times New Roman" w:hAnsi="Times New Roman" w:cs="Times New Roman"/>
        </w:rPr>
        <w:t xml:space="preserve"> through</w:t>
      </w:r>
      <w:r w:rsidRPr="00320ADF">
        <w:rPr>
          <w:rFonts w:ascii="Times New Roman" w:hAnsi="Times New Roman" w:cs="Times New Roman"/>
        </w:rPr>
        <w:t xml:space="preserve">: 1) reforestation; </w:t>
      </w:r>
      <w:r w:rsidRPr="00320ADF">
        <w:rPr>
          <w:rFonts w:ascii="Times New Roman" w:hAnsi="Times New Roman" w:cs="Times New Roman"/>
        </w:rPr>
        <w:lastRenderedPageBreak/>
        <w:t xml:space="preserve">2) conservation agricultural </w:t>
      </w:r>
      <w:r w:rsidR="0007709C" w:rsidRPr="00320ADF">
        <w:rPr>
          <w:rFonts w:ascii="Times New Roman" w:hAnsi="Times New Roman" w:cs="Times New Roman"/>
        </w:rPr>
        <w:t>methods</w:t>
      </w:r>
      <w:r w:rsidRPr="00320ADF">
        <w:rPr>
          <w:rFonts w:ascii="Times New Roman" w:hAnsi="Times New Roman" w:cs="Times New Roman"/>
        </w:rPr>
        <w:t xml:space="preserve"> (such as no-till, non-chemical, and use of cover crops); 3) mangrove and wetlands restoration; and 4) regenerative grazing practices.</w:t>
      </w:r>
      <w:r w:rsidR="008968FF" w:rsidRPr="00320ADF">
        <w:rPr>
          <w:rStyle w:val="FootnoteReference"/>
          <w:rFonts w:ascii="Times New Roman" w:hAnsi="Times New Roman" w:cs="Times New Roman"/>
        </w:rPr>
        <w:footnoteReference w:id="3"/>
      </w:r>
      <w:r w:rsidRPr="00320ADF">
        <w:rPr>
          <w:rFonts w:ascii="Times New Roman" w:hAnsi="Times New Roman" w:cs="Times New Roman"/>
          <w:b/>
          <w:bCs/>
        </w:rPr>
        <w:t xml:space="preserve">  </w:t>
      </w:r>
      <w:r w:rsidRPr="00320ADF">
        <w:rPr>
          <w:rFonts w:ascii="Times New Roman" w:hAnsi="Times New Roman" w:cs="Times New Roman"/>
        </w:rPr>
        <w:t xml:space="preserve">Deploying these projects at scale would engage farmers, foresters, ranchers, and native </w:t>
      </w:r>
      <w:r w:rsidR="00592CA9" w:rsidRPr="00320ADF">
        <w:rPr>
          <w:rFonts w:ascii="Times New Roman" w:hAnsi="Times New Roman" w:cs="Times New Roman"/>
        </w:rPr>
        <w:t>communities</w:t>
      </w:r>
      <w:r w:rsidRPr="00320ADF">
        <w:rPr>
          <w:rFonts w:ascii="Times New Roman" w:hAnsi="Times New Roman" w:cs="Times New Roman"/>
        </w:rPr>
        <w:t xml:space="preserve">, and would also boost adaptation efforts by harnessing nature’s own capacity to produce food, mitigate floods, and filter water.  Beyond </w:t>
      </w:r>
      <w:r w:rsidR="00EC4CEF" w:rsidRPr="00320ADF">
        <w:rPr>
          <w:rFonts w:ascii="Times New Roman" w:hAnsi="Times New Roman" w:cs="Times New Roman"/>
        </w:rPr>
        <w:t xml:space="preserve"> being</w:t>
      </w:r>
      <w:r w:rsidRPr="00320ADF">
        <w:rPr>
          <w:rFonts w:ascii="Times New Roman" w:hAnsi="Times New Roman" w:cs="Times New Roman"/>
        </w:rPr>
        <w:t xml:space="preserve"> essential to climate system</w:t>
      </w:r>
      <w:r w:rsidR="0007709C" w:rsidRPr="00320ADF">
        <w:rPr>
          <w:rFonts w:ascii="Times New Roman" w:hAnsi="Times New Roman" w:cs="Times New Roman"/>
        </w:rPr>
        <w:t xml:space="preserve"> recovery</w:t>
      </w:r>
      <w:r w:rsidRPr="00320ADF">
        <w:rPr>
          <w:rFonts w:ascii="Times New Roman" w:hAnsi="Times New Roman" w:cs="Times New Roman"/>
        </w:rPr>
        <w:t xml:space="preserve">, </w:t>
      </w:r>
      <w:r w:rsidR="0007709C" w:rsidRPr="00320ADF">
        <w:rPr>
          <w:rFonts w:ascii="Times New Roman" w:hAnsi="Times New Roman" w:cs="Times New Roman"/>
        </w:rPr>
        <w:t>such</w:t>
      </w:r>
      <w:r w:rsidRPr="00320ADF">
        <w:rPr>
          <w:rFonts w:ascii="Times New Roman" w:hAnsi="Times New Roman" w:cs="Times New Roman"/>
        </w:rPr>
        <w:t xml:space="preserve"> ecosystem restoration is vital </w:t>
      </w:r>
      <w:r w:rsidR="00592CA9" w:rsidRPr="00320ADF">
        <w:rPr>
          <w:rFonts w:ascii="Times New Roman" w:hAnsi="Times New Roman" w:cs="Times New Roman"/>
        </w:rPr>
        <w:t xml:space="preserve">as a response to the </w:t>
      </w:r>
      <w:r w:rsidRPr="00320ADF">
        <w:rPr>
          <w:rFonts w:ascii="Times New Roman" w:hAnsi="Times New Roman" w:cs="Times New Roman"/>
        </w:rPr>
        <w:t>global biodiversity</w:t>
      </w:r>
      <w:r w:rsidR="00592CA9" w:rsidRPr="00320ADF">
        <w:rPr>
          <w:rFonts w:ascii="Times New Roman" w:hAnsi="Times New Roman" w:cs="Times New Roman"/>
        </w:rPr>
        <w:t xml:space="preserve"> loss crisis</w:t>
      </w:r>
      <w:r w:rsidRPr="00320ADF">
        <w:rPr>
          <w:rFonts w:ascii="Times New Roman" w:hAnsi="Times New Roman" w:cs="Times New Roman"/>
        </w:rPr>
        <w:t>.</w:t>
      </w:r>
      <w:r w:rsidRPr="00320ADF">
        <w:rPr>
          <w:rStyle w:val="FootnoteReference"/>
          <w:rFonts w:ascii="Times New Roman" w:hAnsi="Times New Roman" w:cs="Times New Roman"/>
        </w:rPr>
        <w:footnoteReference w:id="4"/>
      </w:r>
      <w:r w:rsidRPr="00320ADF">
        <w:rPr>
          <w:rFonts w:ascii="Times New Roman" w:hAnsi="Times New Roman" w:cs="Times New Roman"/>
        </w:rPr>
        <w:t xml:space="preserve">  But the magnitude of restoration is daunting, requiring the recruitment of </w:t>
      </w:r>
      <w:r w:rsidR="003F41DC" w:rsidRPr="00320ADF">
        <w:rPr>
          <w:rFonts w:ascii="Times New Roman" w:hAnsi="Times New Roman" w:cs="Times New Roman"/>
        </w:rPr>
        <w:t xml:space="preserve">nearly </w:t>
      </w:r>
      <w:r w:rsidRPr="00320ADF">
        <w:rPr>
          <w:rFonts w:ascii="Times New Roman" w:hAnsi="Times New Roman" w:cs="Times New Roman"/>
        </w:rPr>
        <w:t>all available and suitable land across the world</w:t>
      </w:r>
      <w:r w:rsidR="00CD4BAE" w:rsidRPr="00320ADF">
        <w:rPr>
          <w:rFonts w:ascii="Times New Roman" w:hAnsi="Times New Roman" w:cs="Times New Roman"/>
        </w:rPr>
        <w:t>, and</w:t>
      </w:r>
      <w:r w:rsidR="00EC4CEF" w:rsidRPr="00320ADF">
        <w:rPr>
          <w:rFonts w:ascii="Times New Roman" w:hAnsi="Times New Roman" w:cs="Times New Roman"/>
        </w:rPr>
        <w:t xml:space="preserve"> requires m</w:t>
      </w:r>
      <w:r w:rsidR="00FF6559" w:rsidRPr="00320ADF">
        <w:rPr>
          <w:rFonts w:ascii="Times New Roman" w:hAnsi="Times New Roman" w:cs="Times New Roman"/>
        </w:rPr>
        <w:t>assive funding</w:t>
      </w:r>
      <w:r w:rsidRPr="00320ADF">
        <w:rPr>
          <w:rFonts w:ascii="Times New Roman" w:hAnsi="Times New Roman" w:cs="Times New Roman"/>
        </w:rPr>
        <w:t>.</w:t>
      </w:r>
      <w:r w:rsidR="0007709C" w:rsidRPr="00320ADF">
        <w:rPr>
          <w:rFonts w:ascii="Times New Roman" w:hAnsi="Times New Roman" w:cs="Times New Roman"/>
        </w:rPr>
        <w:t xml:space="preserve">  </w:t>
      </w:r>
      <w:r w:rsidRPr="00320ADF">
        <w:rPr>
          <w:rFonts w:ascii="Times New Roman" w:hAnsi="Times New Roman" w:cs="Times New Roman"/>
        </w:rPr>
        <w:t>In a functional political world, national leaders around the globe would convene to create a</w:t>
      </w:r>
      <w:r w:rsidR="0007709C" w:rsidRPr="00320ADF">
        <w:rPr>
          <w:rFonts w:ascii="Times New Roman" w:hAnsi="Times New Roman" w:cs="Times New Roman"/>
        </w:rPr>
        <w:t xml:space="preserve">n </w:t>
      </w:r>
      <w:r w:rsidRPr="00320ADF">
        <w:rPr>
          <w:rFonts w:ascii="Times New Roman" w:hAnsi="Times New Roman" w:cs="Times New Roman"/>
        </w:rPr>
        <w:t xml:space="preserve">organized </w:t>
      </w:r>
      <w:r w:rsidR="00EC4CEF" w:rsidRPr="00320ADF">
        <w:rPr>
          <w:rFonts w:ascii="Times New Roman" w:hAnsi="Times New Roman" w:cs="Times New Roman"/>
        </w:rPr>
        <w:t xml:space="preserve">and funded </w:t>
      </w:r>
      <w:r w:rsidRPr="00320ADF">
        <w:rPr>
          <w:rFonts w:ascii="Times New Roman" w:hAnsi="Times New Roman" w:cs="Times New Roman"/>
        </w:rPr>
        <w:t xml:space="preserve">framework for global carbon drawdown. </w:t>
      </w:r>
      <w:r w:rsidR="009E570E" w:rsidRPr="00320ADF">
        <w:rPr>
          <w:rFonts w:ascii="Times New Roman" w:hAnsi="Times New Roman" w:cs="Times New Roman"/>
        </w:rPr>
        <w:t xml:space="preserve"> </w:t>
      </w:r>
      <w:r w:rsidRPr="00320ADF">
        <w:rPr>
          <w:rFonts w:ascii="Times New Roman" w:hAnsi="Times New Roman" w:cs="Times New Roman"/>
        </w:rPr>
        <w:t xml:space="preserve">But </w:t>
      </w:r>
      <w:r w:rsidR="001B0852" w:rsidRPr="00320ADF">
        <w:rPr>
          <w:rFonts w:ascii="Times New Roman" w:hAnsi="Times New Roman" w:cs="Times New Roman"/>
        </w:rPr>
        <w:t xml:space="preserve">in </w:t>
      </w:r>
      <w:r w:rsidR="00EC4CEF" w:rsidRPr="00320ADF">
        <w:rPr>
          <w:rFonts w:ascii="Times New Roman" w:hAnsi="Times New Roman" w:cs="Times New Roman"/>
        </w:rPr>
        <w:t>a</w:t>
      </w:r>
      <w:r w:rsidR="0007709C" w:rsidRPr="00320ADF">
        <w:rPr>
          <w:rFonts w:ascii="Times New Roman" w:hAnsi="Times New Roman" w:cs="Times New Roman"/>
        </w:rPr>
        <w:t xml:space="preserve"> present</w:t>
      </w:r>
      <w:r w:rsidRPr="00320ADF">
        <w:rPr>
          <w:rFonts w:ascii="Times New Roman" w:hAnsi="Times New Roman" w:cs="Times New Roman"/>
        </w:rPr>
        <w:t xml:space="preserve"> leadership</w:t>
      </w:r>
      <w:r w:rsidR="001B0852" w:rsidRPr="00320ADF">
        <w:rPr>
          <w:rFonts w:ascii="Times New Roman" w:hAnsi="Times New Roman" w:cs="Times New Roman"/>
        </w:rPr>
        <w:t xml:space="preserve"> vacuum,</w:t>
      </w:r>
      <w:r w:rsidRPr="00320ADF">
        <w:rPr>
          <w:rFonts w:ascii="Times New Roman" w:hAnsi="Times New Roman" w:cs="Times New Roman"/>
        </w:rPr>
        <w:t xml:space="preserve"> </w:t>
      </w:r>
      <w:r w:rsidR="0007709C" w:rsidRPr="00320ADF">
        <w:rPr>
          <w:rFonts w:ascii="Times New Roman" w:hAnsi="Times New Roman" w:cs="Times New Roman"/>
        </w:rPr>
        <w:t>th</w:t>
      </w:r>
      <w:r w:rsidR="00EC4CEF" w:rsidRPr="00320ADF">
        <w:rPr>
          <w:rFonts w:ascii="Times New Roman" w:hAnsi="Times New Roman" w:cs="Times New Roman"/>
        </w:rPr>
        <w:t>ose most</w:t>
      </w:r>
      <w:r w:rsidRPr="00320ADF">
        <w:rPr>
          <w:rFonts w:ascii="Times New Roman" w:hAnsi="Times New Roman" w:cs="Times New Roman"/>
        </w:rPr>
        <w:t xml:space="preserve"> </w:t>
      </w:r>
      <w:r w:rsidR="0007709C" w:rsidRPr="00320ADF">
        <w:rPr>
          <w:rFonts w:ascii="Times New Roman" w:hAnsi="Times New Roman" w:cs="Times New Roman"/>
        </w:rPr>
        <w:t>responsible for creating this crisis</w:t>
      </w:r>
      <w:r w:rsidR="00EC4CEF" w:rsidRPr="00320ADF">
        <w:rPr>
          <w:rFonts w:ascii="Times New Roman" w:hAnsi="Times New Roman" w:cs="Times New Roman"/>
        </w:rPr>
        <w:t xml:space="preserve"> -- fossil fuel companies --</w:t>
      </w:r>
      <w:r w:rsidR="0007709C" w:rsidRPr="00320ADF">
        <w:rPr>
          <w:rFonts w:ascii="Times New Roman" w:hAnsi="Times New Roman" w:cs="Times New Roman"/>
        </w:rPr>
        <w:t xml:space="preserve"> </w:t>
      </w:r>
      <w:r w:rsidRPr="00320ADF">
        <w:rPr>
          <w:rFonts w:ascii="Times New Roman" w:hAnsi="Times New Roman" w:cs="Times New Roman"/>
        </w:rPr>
        <w:t xml:space="preserve">have yet to be forced to pay a dime for cleaning up the atmosphere.   </w:t>
      </w:r>
    </w:p>
    <w:p w:rsidR="000A3979" w:rsidRPr="00320ADF" w:rsidRDefault="000A3979" w:rsidP="00CD117F">
      <w:pPr>
        <w:spacing w:before="100" w:beforeAutospacing="1" w:after="100" w:afterAutospacing="1" w:line="480" w:lineRule="auto"/>
        <w:ind w:firstLine="720"/>
        <w:jc w:val="both"/>
        <w:rPr>
          <w:rFonts w:ascii="Times New Roman" w:hAnsi="Times New Roman" w:cs="Times New Roman"/>
        </w:rPr>
      </w:pPr>
      <w:r w:rsidRPr="00320ADF">
        <w:rPr>
          <w:rFonts w:ascii="Times New Roman" w:hAnsi="Times New Roman" w:cs="Times New Roman"/>
        </w:rPr>
        <w:t>This chapter presents a meta-strategy for jump-starting the drawdown effort across the globe.  It suggests a global campaign of Atmospheric Recovery Litigation (ARL) to hold fossil fuel companies liable for</w:t>
      </w:r>
      <w:r w:rsidR="00AF2F7C" w:rsidRPr="00320ADF">
        <w:rPr>
          <w:rFonts w:ascii="Times New Roman" w:hAnsi="Times New Roman" w:cs="Times New Roman"/>
        </w:rPr>
        <w:t xml:space="preserve"> atmospheric</w:t>
      </w:r>
      <w:r w:rsidRPr="00320ADF">
        <w:rPr>
          <w:rFonts w:ascii="Times New Roman" w:hAnsi="Times New Roman" w:cs="Times New Roman"/>
        </w:rPr>
        <w:t xml:space="preserve"> natural resource damages (NRDs) </w:t>
      </w:r>
      <w:r w:rsidR="00EC4CEF" w:rsidRPr="00320ADF">
        <w:rPr>
          <w:rFonts w:ascii="Times New Roman" w:hAnsi="Times New Roman" w:cs="Times New Roman"/>
        </w:rPr>
        <w:t>to</w:t>
      </w:r>
      <w:r w:rsidRPr="00320ADF">
        <w:rPr>
          <w:rFonts w:ascii="Times New Roman" w:hAnsi="Times New Roman" w:cs="Times New Roman"/>
        </w:rPr>
        <w:t xml:space="preserve"> fund projects sequester</w:t>
      </w:r>
      <w:r w:rsidR="00AA6CAB" w:rsidRPr="00320ADF">
        <w:rPr>
          <w:rFonts w:ascii="Times New Roman" w:hAnsi="Times New Roman" w:cs="Times New Roman"/>
        </w:rPr>
        <w:t>ing</w:t>
      </w:r>
      <w:r w:rsidRPr="00320ADF">
        <w:rPr>
          <w:rFonts w:ascii="Times New Roman" w:hAnsi="Times New Roman" w:cs="Times New Roman"/>
        </w:rPr>
        <w:t xml:space="preserve"> carbon in the soil.  The </w:t>
      </w:r>
      <w:r w:rsidR="00D02D2F" w:rsidRPr="00320ADF">
        <w:rPr>
          <w:rFonts w:ascii="Times New Roman" w:hAnsi="Times New Roman" w:cs="Times New Roman"/>
        </w:rPr>
        <w:t xml:space="preserve">legal </w:t>
      </w:r>
      <w:r w:rsidRPr="00320ADF">
        <w:rPr>
          <w:rFonts w:ascii="Times New Roman" w:hAnsi="Times New Roman" w:cs="Times New Roman"/>
        </w:rPr>
        <w:t>framework</w:t>
      </w:r>
      <w:r w:rsidR="009D10D3" w:rsidRPr="00320ADF">
        <w:rPr>
          <w:rFonts w:ascii="Times New Roman" w:hAnsi="Times New Roman" w:cs="Times New Roman"/>
        </w:rPr>
        <w:t xml:space="preserve"> looks to the same principles that hold companies responsible for cleaning up </w:t>
      </w:r>
      <w:r w:rsidRPr="00320ADF">
        <w:rPr>
          <w:rFonts w:ascii="Times New Roman" w:hAnsi="Times New Roman" w:cs="Times New Roman"/>
        </w:rPr>
        <w:t>marine oil spills</w:t>
      </w:r>
      <w:r w:rsidR="009D10D3" w:rsidRPr="00320ADF">
        <w:rPr>
          <w:rFonts w:ascii="Times New Roman" w:hAnsi="Times New Roman" w:cs="Times New Roman"/>
        </w:rPr>
        <w:t xml:space="preserve">.  </w:t>
      </w:r>
      <w:r w:rsidRPr="00320ADF">
        <w:rPr>
          <w:rFonts w:ascii="Times New Roman" w:hAnsi="Times New Roman" w:cs="Times New Roman"/>
        </w:rPr>
        <w:t xml:space="preserve">While the U.S. federal government will </w:t>
      </w:r>
      <w:r w:rsidR="008C1ED3" w:rsidRPr="00320ADF">
        <w:rPr>
          <w:rFonts w:ascii="Times New Roman" w:hAnsi="Times New Roman" w:cs="Times New Roman"/>
        </w:rPr>
        <w:t>likely not lead</w:t>
      </w:r>
      <w:r w:rsidRPr="00320ADF">
        <w:rPr>
          <w:rFonts w:ascii="Times New Roman" w:hAnsi="Times New Roman" w:cs="Times New Roman"/>
        </w:rPr>
        <w:t xml:space="preserve"> a cleanup effort for the atmosphere, other sovereign</w:t>
      </w:r>
      <w:r w:rsidR="008C1ED3" w:rsidRPr="00320ADF">
        <w:rPr>
          <w:rFonts w:ascii="Times New Roman" w:hAnsi="Times New Roman" w:cs="Times New Roman"/>
        </w:rPr>
        <w:t>s</w:t>
      </w:r>
      <w:r w:rsidR="00A91B62">
        <w:rPr>
          <w:rFonts w:ascii="Times New Roman" w:hAnsi="Times New Roman" w:cs="Times New Roman"/>
        </w:rPr>
        <w:t xml:space="preserve"> </w:t>
      </w:r>
      <w:r w:rsidRPr="00320ADF">
        <w:rPr>
          <w:rFonts w:ascii="Times New Roman" w:hAnsi="Times New Roman" w:cs="Times New Roman"/>
        </w:rPr>
        <w:t>–</w:t>
      </w:r>
      <w:r w:rsidR="00A91B62">
        <w:rPr>
          <w:rFonts w:ascii="Times New Roman" w:hAnsi="Times New Roman" w:cs="Times New Roman"/>
        </w:rPr>
        <w:t xml:space="preserve"> </w:t>
      </w:r>
      <w:r w:rsidRPr="00320ADF">
        <w:rPr>
          <w:rFonts w:ascii="Times New Roman" w:hAnsi="Times New Roman" w:cs="Times New Roman"/>
        </w:rPr>
        <w:t xml:space="preserve">states, tribes, counties, and foreign nations - are positioned to do so.  </w:t>
      </w:r>
      <w:r w:rsidR="009D10D3" w:rsidRPr="00320ADF">
        <w:rPr>
          <w:rFonts w:ascii="Times New Roman" w:hAnsi="Times New Roman" w:cs="Times New Roman"/>
        </w:rPr>
        <w:t xml:space="preserve"> By setting forth a</w:t>
      </w:r>
      <w:r w:rsidRPr="00320ADF">
        <w:rPr>
          <w:rFonts w:ascii="Times New Roman" w:hAnsi="Times New Roman" w:cs="Times New Roman"/>
        </w:rPr>
        <w:t xml:space="preserve"> </w:t>
      </w:r>
      <w:r w:rsidR="009D10D3" w:rsidRPr="00320ADF">
        <w:rPr>
          <w:rFonts w:ascii="Times New Roman" w:hAnsi="Times New Roman" w:cs="Times New Roman"/>
        </w:rPr>
        <w:t>unifying</w:t>
      </w:r>
      <w:r w:rsidRPr="00320ADF">
        <w:rPr>
          <w:rFonts w:ascii="Times New Roman" w:hAnsi="Times New Roman" w:cs="Times New Roman"/>
        </w:rPr>
        <w:t xml:space="preserve"> liability framework</w:t>
      </w:r>
      <w:r w:rsidR="009D10D3" w:rsidRPr="00320ADF">
        <w:rPr>
          <w:rFonts w:ascii="Times New Roman" w:hAnsi="Times New Roman" w:cs="Times New Roman"/>
        </w:rPr>
        <w:t>, this chapter aims to catalyze</w:t>
      </w:r>
      <w:r w:rsidRPr="00320ADF">
        <w:rPr>
          <w:rFonts w:ascii="Times New Roman" w:hAnsi="Times New Roman" w:cs="Times New Roman"/>
        </w:rPr>
        <w:t xml:space="preserve"> </w:t>
      </w:r>
      <w:r w:rsidR="009D10D3" w:rsidRPr="00320ADF">
        <w:rPr>
          <w:rFonts w:ascii="Times New Roman" w:hAnsi="Times New Roman" w:cs="Times New Roman"/>
        </w:rPr>
        <w:t>a g</w:t>
      </w:r>
      <w:r w:rsidRPr="00320ADF">
        <w:rPr>
          <w:rFonts w:ascii="Times New Roman" w:hAnsi="Times New Roman" w:cs="Times New Roman"/>
        </w:rPr>
        <w:t>lobal effort that is uniquely localized</w:t>
      </w:r>
      <w:r w:rsidR="00A91B62">
        <w:rPr>
          <w:rFonts w:ascii="Times New Roman" w:hAnsi="Times New Roman" w:cs="Times New Roman"/>
        </w:rPr>
        <w:t xml:space="preserve"> </w:t>
      </w:r>
      <w:r w:rsidRPr="00320ADF">
        <w:rPr>
          <w:rFonts w:ascii="Times New Roman" w:hAnsi="Times New Roman" w:cs="Times New Roman"/>
        </w:rPr>
        <w:t xml:space="preserve">yet unified in resolve. </w:t>
      </w:r>
      <w:r w:rsidR="00CD117F" w:rsidRPr="00320ADF">
        <w:rPr>
          <w:rFonts w:ascii="Times New Roman" w:hAnsi="Times New Roman" w:cs="Times New Roman"/>
        </w:rPr>
        <w:t xml:space="preserve"> The ARL strategy is designed to parallel and compliment the decentralized litigation strategy known as </w:t>
      </w:r>
      <w:r w:rsidR="00CD117F" w:rsidRPr="00320ADF">
        <w:rPr>
          <w:rFonts w:ascii="Times New Roman" w:hAnsi="Times New Roman" w:cs="Times New Roman"/>
        </w:rPr>
        <w:lastRenderedPageBreak/>
        <w:t xml:space="preserve">Atmospheric Trust Litigation (ATL), described below, currently </w:t>
      </w:r>
      <w:r w:rsidR="009E570E" w:rsidRPr="00320ADF">
        <w:rPr>
          <w:rFonts w:ascii="Times New Roman" w:hAnsi="Times New Roman" w:cs="Times New Roman"/>
        </w:rPr>
        <w:t xml:space="preserve">proceeding apace </w:t>
      </w:r>
      <w:r w:rsidR="00CD117F" w:rsidRPr="00320ADF">
        <w:rPr>
          <w:rFonts w:ascii="Times New Roman" w:hAnsi="Times New Roman" w:cs="Times New Roman"/>
        </w:rPr>
        <w:t xml:space="preserve">to force the other climate imperative, decarbonization.  </w:t>
      </w:r>
    </w:p>
    <w:p w:rsidR="00CD117F" w:rsidRPr="00320ADF" w:rsidRDefault="000A3979" w:rsidP="009103A8">
      <w:pPr>
        <w:pStyle w:val="ListParagraph"/>
        <w:numPr>
          <w:ilvl w:val="0"/>
          <w:numId w:val="3"/>
        </w:numPr>
        <w:spacing w:before="100" w:beforeAutospacing="1" w:after="100" w:afterAutospacing="1" w:line="480" w:lineRule="auto"/>
        <w:jc w:val="both"/>
        <w:rPr>
          <w:b/>
          <w:bCs/>
        </w:rPr>
      </w:pPr>
      <w:r w:rsidRPr="00320ADF">
        <w:rPr>
          <w:b/>
          <w:bCs/>
        </w:rPr>
        <w:t>BACKGROUND</w:t>
      </w:r>
    </w:p>
    <w:p w:rsidR="000A3979" w:rsidRPr="00320ADF" w:rsidRDefault="009103A8" w:rsidP="009103A8">
      <w:pPr>
        <w:spacing w:before="100" w:beforeAutospacing="1" w:after="100" w:afterAutospacing="1" w:line="480" w:lineRule="auto"/>
        <w:ind w:firstLine="720"/>
        <w:jc w:val="both"/>
        <w:rPr>
          <w:rFonts w:ascii="Times New Roman" w:hAnsi="Times New Roman" w:cs="Times New Roman"/>
        </w:rPr>
      </w:pPr>
      <w:r w:rsidRPr="00320ADF">
        <w:rPr>
          <w:rFonts w:ascii="Times New Roman" w:hAnsi="Times New Roman" w:cs="Times New Roman"/>
        </w:rPr>
        <w:t>T</w:t>
      </w:r>
      <w:r w:rsidR="00E74E78" w:rsidRPr="00320ADF">
        <w:rPr>
          <w:rFonts w:ascii="Times New Roman" w:hAnsi="Times New Roman" w:cs="Times New Roman"/>
        </w:rPr>
        <w:t>ogether, the</w:t>
      </w:r>
      <w:r w:rsidRPr="00320ADF">
        <w:rPr>
          <w:rFonts w:ascii="Times New Roman" w:hAnsi="Times New Roman" w:cs="Times New Roman"/>
        </w:rPr>
        <w:t xml:space="preserve"> ATL and ARL litigation campaigns</w:t>
      </w:r>
      <w:r w:rsidR="00E74E78" w:rsidRPr="00320ADF">
        <w:rPr>
          <w:rFonts w:ascii="Times New Roman" w:hAnsi="Times New Roman" w:cs="Times New Roman"/>
        </w:rPr>
        <w:t xml:space="preserve"> represent </w:t>
      </w:r>
      <w:r w:rsidR="00A91B62">
        <w:rPr>
          <w:rFonts w:ascii="Times New Roman" w:hAnsi="Times New Roman" w:cs="Times New Roman"/>
        </w:rPr>
        <w:t>converging litigation aimed at</w:t>
      </w:r>
      <w:r w:rsidR="00E74E78" w:rsidRPr="00320ADF">
        <w:rPr>
          <w:rFonts w:ascii="Times New Roman" w:hAnsi="Times New Roman" w:cs="Times New Roman"/>
        </w:rPr>
        <w:t xml:space="preserve">  restoring climate stability</w:t>
      </w:r>
      <w:r w:rsidR="00A315AD" w:rsidRPr="00320ADF">
        <w:rPr>
          <w:rFonts w:ascii="Times New Roman" w:hAnsi="Times New Roman" w:cs="Times New Roman"/>
        </w:rPr>
        <w:t xml:space="preserve"> by addressing both sides of the climate imperative:  decarbonization and drawdown, respectively</w:t>
      </w:r>
      <w:r w:rsidR="00E74E78" w:rsidRPr="00320ADF">
        <w:rPr>
          <w:rFonts w:ascii="Times New Roman" w:hAnsi="Times New Roman" w:cs="Times New Roman"/>
        </w:rPr>
        <w:t xml:space="preserve">.  </w:t>
      </w:r>
      <w:r w:rsidR="00E0482F" w:rsidRPr="00320ADF">
        <w:rPr>
          <w:rFonts w:ascii="Times New Roman" w:hAnsi="Times New Roman" w:cs="Times New Roman"/>
        </w:rPr>
        <w:t>Both</w:t>
      </w:r>
      <w:r w:rsidRPr="00320ADF">
        <w:rPr>
          <w:rFonts w:ascii="Times New Roman" w:hAnsi="Times New Roman" w:cs="Times New Roman"/>
        </w:rPr>
        <w:t xml:space="preserve"> </w:t>
      </w:r>
      <w:r w:rsidR="00A315AD" w:rsidRPr="00320ADF">
        <w:rPr>
          <w:rFonts w:ascii="Times New Roman" w:hAnsi="Times New Roman" w:cs="Times New Roman"/>
        </w:rPr>
        <w:t xml:space="preserve">campaigns </w:t>
      </w:r>
      <w:r w:rsidRPr="00320ADF">
        <w:rPr>
          <w:rFonts w:ascii="Times New Roman" w:hAnsi="Times New Roman" w:cs="Times New Roman"/>
        </w:rPr>
        <w:t>rest on the ancient public trust principle, which obligates and empowers government to protect and restore crucial ecological assets such as the atmosphere</w:t>
      </w:r>
      <w:r w:rsidR="00BE66B7" w:rsidRPr="00320ADF">
        <w:rPr>
          <w:rFonts w:ascii="Times New Roman" w:hAnsi="Times New Roman" w:cs="Times New Roman"/>
        </w:rPr>
        <w:t>.</w:t>
      </w:r>
      <w:r w:rsidR="00C537BD" w:rsidRPr="00320ADF">
        <w:rPr>
          <w:rFonts w:ascii="Times New Roman" w:hAnsi="Times New Roman" w:cs="Times New Roman"/>
        </w:rPr>
        <w:t xml:space="preserve"> </w:t>
      </w:r>
      <w:r w:rsidR="00B02FB9" w:rsidRPr="00320ADF">
        <w:rPr>
          <w:rFonts w:ascii="Times New Roman" w:hAnsi="Times New Roman" w:cs="Times New Roman"/>
        </w:rPr>
        <w:t xml:space="preserve"> </w:t>
      </w:r>
      <w:r w:rsidR="000A3979" w:rsidRPr="00320ADF">
        <w:rPr>
          <w:rFonts w:ascii="Times New Roman" w:hAnsi="Times New Roman" w:cs="Times New Roman"/>
        </w:rPr>
        <w:t>ATL</w:t>
      </w:r>
      <w:r w:rsidR="00A315AD" w:rsidRPr="00320ADF">
        <w:rPr>
          <w:rFonts w:ascii="Times New Roman" w:hAnsi="Times New Roman" w:cs="Times New Roman"/>
        </w:rPr>
        <w:t xml:space="preserve">, spearheaded by the non-profit organization Our Children’s Trust, </w:t>
      </w:r>
      <w:r w:rsidR="000A3979" w:rsidRPr="00320ADF">
        <w:rPr>
          <w:rFonts w:ascii="Times New Roman" w:hAnsi="Times New Roman" w:cs="Times New Roman"/>
        </w:rPr>
        <w:t xml:space="preserve">consists of cases brought </w:t>
      </w:r>
      <w:r w:rsidR="00E0482F" w:rsidRPr="00320ADF">
        <w:rPr>
          <w:rFonts w:ascii="Times New Roman" w:hAnsi="Times New Roman" w:cs="Times New Roman"/>
        </w:rPr>
        <w:t>on behalf of</w:t>
      </w:r>
      <w:r w:rsidR="000A3979" w:rsidRPr="00320ADF">
        <w:rPr>
          <w:rFonts w:ascii="Times New Roman" w:hAnsi="Times New Roman" w:cs="Times New Roman"/>
        </w:rPr>
        <w:t xml:space="preserve"> </w:t>
      </w:r>
      <w:r w:rsidR="00E0482F" w:rsidRPr="00320ADF">
        <w:rPr>
          <w:rFonts w:ascii="Times New Roman" w:hAnsi="Times New Roman" w:cs="Times New Roman"/>
        </w:rPr>
        <w:t>youth</w:t>
      </w:r>
      <w:r w:rsidR="000A3979" w:rsidRPr="00320ADF">
        <w:rPr>
          <w:rFonts w:ascii="Times New Roman" w:hAnsi="Times New Roman" w:cs="Times New Roman"/>
        </w:rPr>
        <w:t xml:space="preserve"> against their governments seeking judicial remedies </w:t>
      </w:r>
      <w:r w:rsidR="003A0D86" w:rsidRPr="00320ADF">
        <w:rPr>
          <w:rFonts w:ascii="Times New Roman" w:hAnsi="Times New Roman" w:cs="Times New Roman"/>
        </w:rPr>
        <w:t>to require</w:t>
      </w:r>
      <w:r w:rsidR="000A3979" w:rsidRPr="00320ADF">
        <w:rPr>
          <w:rFonts w:ascii="Times New Roman" w:hAnsi="Times New Roman" w:cs="Times New Roman"/>
        </w:rPr>
        <w:t xml:space="preserve"> agencies to accomplish necessary emissions reduction.  The most well-known case, </w:t>
      </w:r>
      <w:r w:rsidR="000A3979" w:rsidRPr="00320ADF">
        <w:rPr>
          <w:rFonts w:ascii="Times New Roman" w:hAnsi="Times New Roman" w:cs="Times New Roman"/>
          <w:i/>
          <w:iCs/>
        </w:rPr>
        <w:t>Juliana v. United States</w:t>
      </w:r>
      <w:r w:rsidR="000A3979" w:rsidRPr="00320ADF">
        <w:rPr>
          <w:rFonts w:ascii="Times New Roman" w:hAnsi="Times New Roman" w:cs="Times New Roman"/>
        </w:rPr>
        <w:t xml:space="preserve"> -- often called “the biggest lawsuit on the planet” -- was brought on behalf of 21 youth against the </w:t>
      </w:r>
      <w:r w:rsidR="00E0482F" w:rsidRPr="00320ADF">
        <w:rPr>
          <w:rFonts w:ascii="Times New Roman" w:hAnsi="Times New Roman" w:cs="Times New Roman"/>
        </w:rPr>
        <w:t xml:space="preserve">U.S. </w:t>
      </w:r>
      <w:r w:rsidR="000A3979" w:rsidRPr="00320ADF">
        <w:rPr>
          <w:rFonts w:ascii="Times New Roman" w:hAnsi="Times New Roman" w:cs="Times New Roman"/>
        </w:rPr>
        <w:t xml:space="preserve">federal government </w:t>
      </w:r>
      <w:r w:rsidR="00E0482F" w:rsidRPr="00320ADF">
        <w:rPr>
          <w:rFonts w:ascii="Times New Roman" w:hAnsi="Times New Roman" w:cs="Times New Roman"/>
        </w:rPr>
        <w:t xml:space="preserve">in 2015.  </w:t>
      </w:r>
      <w:r w:rsidR="00BE66B7" w:rsidRPr="00320ADF">
        <w:rPr>
          <w:rFonts w:ascii="Times New Roman" w:hAnsi="Times New Roman" w:cs="Times New Roman"/>
        </w:rPr>
        <w:t>In an</w:t>
      </w:r>
      <w:r w:rsidR="00E0482F" w:rsidRPr="00320ADF">
        <w:rPr>
          <w:rFonts w:ascii="Times New Roman" w:hAnsi="Times New Roman" w:cs="Times New Roman"/>
        </w:rPr>
        <w:t xml:space="preserve"> early sweeping victory </w:t>
      </w:r>
      <w:r w:rsidR="00BE66B7" w:rsidRPr="00320ADF">
        <w:rPr>
          <w:rFonts w:ascii="Times New Roman" w:hAnsi="Times New Roman" w:cs="Times New Roman"/>
        </w:rPr>
        <w:t>for</w:t>
      </w:r>
      <w:r w:rsidR="00E0482F" w:rsidRPr="00320ADF">
        <w:rPr>
          <w:rFonts w:ascii="Times New Roman" w:hAnsi="Times New Roman" w:cs="Times New Roman"/>
        </w:rPr>
        <w:t xml:space="preserve"> plaintiffs</w:t>
      </w:r>
      <w:r w:rsidR="000A3979" w:rsidRPr="00320ADF">
        <w:rPr>
          <w:rFonts w:ascii="Times New Roman" w:hAnsi="Times New Roman" w:cs="Times New Roman"/>
        </w:rPr>
        <w:t xml:space="preserve">, </w:t>
      </w:r>
      <w:r w:rsidR="00BE66B7" w:rsidRPr="00320ADF">
        <w:rPr>
          <w:rFonts w:ascii="Times New Roman" w:hAnsi="Times New Roman" w:cs="Times New Roman"/>
        </w:rPr>
        <w:t xml:space="preserve">the federal district court </w:t>
      </w:r>
      <w:r w:rsidR="000A3979" w:rsidRPr="00320ADF">
        <w:rPr>
          <w:rFonts w:ascii="Times New Roman" w:hAnsi="Times New Roman" w:cs="Times New Roman"/>
        </w:rPr>
        <w:t>declar</w:t>
      </w:r>
      <w:r w:rsidR="00BE66B7" w:rsidRPr="00320ADF">
        <w:rPr>
          <w:rFonts w:ascii="Times New Roman" w:hAnsi="Times New Roman" w:cs="Times New Roman"/>
        </w:rPr>
        <w:t>ed</w:t>
      </w:r>
      <w:r w:rsidR="00E0482F" w:rsidRPr="00320ADF">
        <w:rPr>
          <w:rFonts w:ascii="Times New Roman" w:hAnsi="Times New Roman" w:cs="Times New Roman"/>
        </w:rPr>
        <w:t xml:space="preserve"> </w:t>
      </w:r>
      <w:r w:rsidR="000A3979" w:rsidRPr="00320ADF">
        <w:rPr>
          <w:rFonts w:ascii="Times New Roman" w:hAnsi="Times New Roman" w:cs="Times New Roman"/>
        </w:rPr>
        <w:t>public trust rights and constitutional due process rights to a balanced climate system.</w:t>
      </w:r>
      <w:r w:rsidR="00C537BD" w:rsidRPr="00320ADF">
        <w:rPr>
          <w:rStyle w:val="FootnoteReference"/>
          <w:rFonts w:ascii="Times New Roman" w:hAnsi="Times New Roman" w:cs="Times New Roman"/>
        </w:rPr>
        <w:footnoteReference w:id="5"/>
      </w:r>
      <w:r w:rsidR="000A3979" w:rsidRPr="00320ADF">
        <w:rPr>
          <w:rFonts w:ascii="Times New Roman" w:hAnsi="Times New Roman" w:cs="Times New Roman"/>
        </w:rPr>
        <w:t xml:space="preserve">  The case presently sits in the Ninth Circuit on appeal.   </w:t>
      </w:r>
    </w:p>
    <w:p w:rsidR="000A3979" w:rsidRPr="00320ADF" w:rsidRDefault="000A3979" w:rsidP="000A3979">
      <w:pPr>
        <w:autoSpaceDE w:val="0"/>
        <w:autoSpaceDN w:val="0"/>
        <w:adjustRightInd w:val="0"/>
        <w:spacing w:line="480" w:lineRule="auto"/>
        <w:ind w:firstLine="720"/>
        <w:jc w:val="both"/>
        <w:rPr>
          <w:rFonts w:ascii="Times New Roman" w:hAnsi="Times New Roman" w:cs="Times New Roman"/>
        </w:rPr>
      </w:pPr>
      <w:r w:rsidRPr="00320ADF">
        <w:rPr>
          <w:rFonts w:ascii="Times New Roman" w:hAnsi="Times New Roman" w:cs="Times New Roman"/>
        </w:rPr>
        <w:t xml:space="preserve">Atmospheric Recovery Litigation (ARL) rests on the same public trust principle but is geared towards the </w:t>
      </w:r>
      <w:r w:rsidR="009B24A2" w:rsidRPr="00320ADF">
        <w:rPr>
          <w:rFonts w:ascii="Times New Roman" w:hAnsi="Times New Roman" w:cs="Times New Roman"/>
        </w:rPr>
        <w:t>other side of the</w:t>
      </w:r>
      <w:r w:rsidR="003A0D86" w:rsidRPr="00320ADF">
        <w:rPr>
          <w:rFonts w:ascii="Times New Roman" w:hAnsi="Times New Roman" w:cs="Times New Roman"/>
        </w:rPr>
        <w:t xml:space="preserve"> climate imperative:</w:t>
      </w:r>
      <w:r w:rsidRPr="00320ADF">
        <w:rPr>
          <w:rFonts w:ascii="Times New Roman" w:hAnsi="Times New Roman" w:cs="Times New Roman"/>
        </w:rPr>
        <w:t xml:space="preserve">  drawdown of massive amounts of </w:t>
      </w:r>
      <w:r w:rsidR="007C3F3C" w:rsidRPr="00320ADF">
        <w:rPr>
          <w:w w:val="110"/>
        </w:rPr>
        <w:t>CO</w:t>
      </w:r>
      <w:r w:rsidR="007C3F3C" w:rsidRPr="00410451">
        <w:rPr>
          <w:w w:val="110"/>
          <w:vertAlign w:val="subscript"/>
        </w:rPr>
        <w:t>2</w:t>
      </w:r>
      <w:r w:rsidRPr="00320ADF">
        <w:rPr>
          <w:rFonts w:ascii="Times New Roman" w:hAnsi="Times New Roman" w:cs="Times New Roman"/>
        </w:rPr>
        <w:t>.  This litigation, having a different objective, also involves different parties.  In ARL, sovereign co-trustees – states</w:t>
      </w:r>
      <w:r w:rsidR="003A0D86" w:rsidRPr="00320ADF">
        <w:rPr>
          <w:rFonts w:ascii="Times New Roman" w:hAnsi="Times New Roman" w:cs="Times New Roman"/>
        </w:rPr>
        <w:t>,</w:t>
      </w:r>
      <w:r w:rsidRPr="00320ADF">
        <w:rPr>
          <w:rFonts w:ascii="Times New Roman" w:hAnsi="Times New Roman" w:cs="Times New Roman"/>
        </w:rPr>
        <w:t xml:space="preserve"> countie</w:t>
      </w:r>
      <w:r w:rsidR="003A0D86" w:rsidRPr="00320ADF">
        <w:rPr>
          <w:rFonts w:ascii="Times New Roman" w:hAnsi="Times New Roman" w:cs="Times New Roman"/>
        </w:rPr>
        <w:t>s</w:t>
      </w:r>
      <w:r w:rsidRPr="00320ADF">
        <w:rPr>
          <w:rFonts w:ascii="Times New Roman" w:hAnsi="Times New Roman" w:cs="Times New Roman"/>
        </w:rPr>
        <w:t>, tribes, and</w:t>
      </w:r>
      <w:r w:rsidR="003A0D86" w:rsidRPr="00320ADF">
        <w:rPr>
          <w:rFonts w:ascii="Times New Roman" w:hAnsi="Times New Roman" w:cs="Times New Roman"/>
        </w:rPr>
        <w:t>/or</w:t>
      </w:r>
      <w:r w:rsidRPr="00320ADF">
        <w:rPr>
          <w:rFonts w:ascii="Times New Roman" w:hAnsi="Times New Roman" w:cs="Times New Roman"/>
        </w:rPr>
        <w:t xml:space="preserve"> foreign nations</w:t>
      </w:r>
      <w:r w:rsidR="009E570E" w:rsidRPr="00320ADF">
        <w:rPr>
          <w:rFonts w:ascii="Times New Roman" w:hAnsi="Times New Roman" w:cs="Times New Roman"/>
        </w:rPr>
        <w:t xml:space="preserve"> (and federal U.S. agencies if inclined)</w:t>
      </w:r>
      <w:r w:rsidRPr="00320ADF">
        <w:rPr>
          <w:rFonts w:ascii="Times New Roman" w:hAnsi="Times New Roman" w:cs="Times New Roman"/>
        </w:rPr>
        <w:t xml:space="preserve"> </w:t>
      </w:r>
      <w:r w:rsidR="009B24A2" w:rsidRPr="00320ADF">
        <w:rPr>
          <w:rFonts w:ascii="Times New Roman" w:hAnsi="Times New Roman" w:cs="Times New Roman"/>
        </w:rPr>
        <w:t xml:space="preserve">-- </w:t>
      </w:r>
      <w:r w:rsidRPr="00320ADF">
        <w:rPr>
          <w:rFonts w:ascii="Times New Roman" w:hAnsi="Times New Roman" w:cs="Times New Roman"/>
        </w:rPr>
        <w:t>will seek natural resource damages</w:t>
      </w:r>
      <w:r w:rsidR="003A0D86" w:rsidRPr="00320ADF">
        <w:rPr>
          <w:rFonts w:ascii="Times New Roman" w:hAnsi="Times New Roman" w:cs="Times New Roman"/>
        </w:rPr>
        <w:t xml:space="preserve"> from fossil fuel industry</w:t>
      </w:r>
      <w:r w:rsidRPr="00320ADF">
        <w:rPr>
          <w:rFonts w:ascii="Times New Roman" w:hAnsi="Times New Roman" w:cs="Times New Roman"/>
        </w:rPr>
        <w:t xml:space="preserve"> </w:t>
      </w:r>
      <w:r w:rsidR="003A0D86" w:rsidRPr="00320ADF">
        <w:rPr>
          <w:rFonts w:ascii="Times New Roman" w:hAnsi="Times New Roman" w:cs="Times New Roman"/>
        </w:rPr>
        <w:t>defendants to fund cleanup of</w:t>
      </w:r>
      <w:r w:rsidRPr="00320ADF">
        <w:rPr>
          <w:rFonts w:ascii="Times New Roman" w:hAnsi="Times New Roman" w:cs="Times New Roman"/>
        </w:rPr>
        <w:t xml:space="preserve"> the atmosphere.  By depleting the assets of “carbon majors,” such litigation would </w:t>
      </w:r>
      <w:r w:rsidR="009B24A2" w:rsidRPr="00320ADF">
        <w:rPr>
          <w:rFonts w:ascii="Times New Roman" w:hAnsi="Times New Roman" w:cs="Times New Roman"/>
        </w:rPr>
        <w:t>secondarily</w:t>
      </w:r>
      <w:r w:rsidRPr="00320ADF">
        <w:rPr>
          <w:rFonts w:ascii="Times New Roman" w:hAnsi="Times New Roman" w:cs="Times New Roman"/>
        </w:rPr>
        <w:t xml:space="preserve"> </w:t>
      </w:r>
      <w:r w:rsidRPr="00320ADF">
        <w:rPr>
          <w:rFonts w:ascii="Times New Roman" w:hAnsi="Times New Roman" w:cs="Times New Roman"/>
        </w:rPr>
        <w:lastRenderedPageBreak/>
        <w:t>stimulate a</w:t>
      </w:r>
      <w:r w:rsidR="00A315AD" w:rsidRPr="00320ADF">
        <w:rPr>
          <w:rFonts w:ascii="Times New Roman" w:hAnsi="Times New Roman" w:cs="Times New Roman"/>
        </w:rPr>
        <w:t xml:space="preserve"> </w:t>
      </w:r>
      <w:r w:rsidRPr="00320ADF">
        <w:rPr>
          <w:rFonts w:ascii="Times New Roman" w:hAnsi="Times New Roman" w:cs="Times New Roman"/>
        </w:rPr>
        <w:t xml:space="preserve">wind-down of this deadly industry, forcing a transition to clean renewable energy and contributing to the decarbonization side of the climate imperative. </w:t>
      </w:r>
    </w:p>
    <w:p w:rsidR="000A3979" w:rsidRPr="00320ADF" w:rsidRDefault="000A3979" w:rsidP="000A3979">
      <w:pPr>
        <w:pStyle w:val="ListParagraph"/>
        <w:numPr>
          <w:ilvl w:val="0"/>
          <w:numId w:val="20"/>
        </w:numPr>
        <w:spacing w:before="100" w:beforeAutospacing="1" w:after="100" w:afterAutospacing="1" w:line="480" w:lineRule="auto"/>
        <w:jc w:val="both"/>
        <w:rPr>
          <w:b/>
          <w:bCs/>
        </w:rPr>
      </w:pPr>
      <w:r w:rsidRPr="00320ADF">
        <w:rPr>
          <w:b/>
          <w:bCs/>
        </w:rPr>
        <w:t xml:space="preserve">THE PUBLIC TRUST PRINCIPLE </w:t>
      </w:r>
    </w:p>
    <w:p w:rsidR="000A3979" w:rsidRPr="00320ADF" w:rsidRDefault="00915D57" w:rsidP="000A3979">
      <w:pPr>
        <w:spacing w:before="100" w:beforeAutospacing="1" w:after="100" w:afterAutospacing="1" w:line="480" w:lineRule="auto"/>
        <w:ind w:firstLine="720"/>
        <w:jc w:val="both"/>
        <w:rPr>
          <w:rFonts w:ascii="Times New Roman" w:hAnsi="Times New Roman" w:cs="Times New Roman"/>
        </w:rPr>
      </w:pPr>
      <w:r>
        <w:rPr>
          <w:rFonts w:ascii="Times New Roman" w:hAnsi="Times New Roman" w:cs="Times New Roman"/>
        </w:rPr>
        <w:t>The public trust principle</w:t>
      </w:r>
      <w:r w:rsidR="00BB52CF">
        <w:rPr>
          <w:rFonts w:ascii="Times New Roman" w:hAnsi="Times New Roman" w:cs="Times New Roman"/>
        </w:rPr>
        <w:t xml:space="preserve"> is</w:t>
      </w:r>
      <w:r w:rsidR="00F7416B" w:rsidRPr="00320ADF">
        <w:rPr>
          <w:rFonts w:ascii="Times New Roman" w:hAnsi="Times New Roman" w:cs="Times New Roman"/>
        </w:rPr>
        <w:t xml:space="preserve"> f</w:t>
      </w:r>
      <w:r w:rsidR="000A3979" w:rsidRPr="00320ADF">
        <w:rPr>
          <w:rFonts w:ascii="Times New Roman" w:hAnsi="Times New Roman" w:cs="Times New Roman"/>
        </w:rPr>
        <w:t>undamental and ancien</w:t>
      </w:r>
      <w:r w:rsidR="00BB52CF">
        <w:rPr>
          <w:rFonts w:ascii="Times New Roman" w:hAnsi="Times New Roman" w:cs="Times New Roman"/>
        </w:rPr>
        <w:t xml:space="preserve">t, </w:t>
      </w:r>
      <w:r w:rsidR="00696433" w:rsidRPr="00320ADF">
        <w:rPr>
          <w:rFonts w:ascii="Times New Roman" w:hAnsi="Times New Roman" w:cs="Times New Roman"/>
        </w:rPr>
        <w:t>reach</w:t>
      </w:r>
      <w:r w:rsidR="00BB52CF">
        <w:rPr>
          <w:rFonts w:ascii="Times New Roman" w:hAnsi="Times New Roman" w:cs="Times New Roman"/>
        </w:rPr>
        <w:t>ing</w:t>
      </w:r>
      <w:r w:rsidR="007F32C0" w:rsidRPr="00320ADF">
        <w:rPr>
          <w:rFonts w:ascii="Times New Roman" w:hAnsi="Times New Roman" w:cs="Times New Roman"/>
        </w:rPr>
        <w:t xml:space="preserve"> to far greater depths</w:t>
      </w:r>
      <w:r w:rsidR="000A3979" w:rsidRPr="00320ADF">
        <w:rPr>
          <w:rFonts w:ascii="Times New Roman" w:hAnsi="Times New Roman" w:cs="Times New Roman"/>
        </w:rPr>
        <w:t xml:space="preserve"> than any statute.</w:t>
      </w:r>
      <w:r w:rsidR="005E5E8F" w:rsidRPr="00320ADF">
        <w:rPr>
          <w:rStyle w:val="FootnoteReference"/>
          <w:rFonts w:ascii="Times New Roman" w:hAnsi="Times New Roman" w:cs="Times New Roman"/>
        </w:rPr>
        <w:footnoteReference w:id="6"/>
      </w:r>
      <w:r w:rsidR="000A3979" w:rsidRPr="00320ADF">
        <w:rPr>
          <w:rFonts w:ascii="Times New Roman" w:hAnsi="Times New Roman" w:cs="Times New Roman"/>
        </w:rPr>
        <w:t xml:space="preserve">  Manifest in </w:t>
      </w:r>
      <w:r w:rsidR="007F32C0" w:rsidRPr="00320ADF">
        <w:rPr>
          <w:rFonts w:ascii="Times New Roman" w:hAnsi="Times New Roman" w:cs="Times New Roman"/>
        </w:rPr>
        <w:t xml:space="preserve">many </w:t>
      </w:r>
      <w:r w:rsidR="000A3979" w:rsidRPr="00320ADF">
        <w:rPr>
          <w:rFonts w:ascii="Times New Roman" w:hAnsi="Times New Roman" w:cs="Times New Roman"/>
        </w:rPr>
        <w:t xml:space="preserve">countries throughout the world, </w:t>
      </w:r>
      <w:r w:rsidR="0034063C" w:rsidRPr="00320ADF">
        <w:rPr>
          <w:rFonts w:ascii="Times New Roman" w:hAnsi="Times New Roman" w:cs="Times New Roman"/>
        </w:rPr>
        <w:t>it</w:t>
      </w:r>
      <w:r w:rsidR="000A3979" w:rsidRPr="00320ADF">
        <w:rPr>
          <w:rFonts w:ascii="Times New Roman" w:hAnsi="Times New Roman" w:cs="Times New Roman"/>
        </w:rPr>
        <w:t xml:space="preserve"> designates government as trustee of public resources, including the waters, shorelines, fisheries</w:t>
      </w:r>
      <w:r w:rsidR="007F32C0" w:rsidRPr="00320ADF">
        <w:rPr>
          <w:rFonts w:ascii="Times New Roman" w:hAnsi="Times New Roman" w:cs="Times New Roman"/>
        </w:rPr>
        <w:t xml:space="preserve">, </w:t>
      </w:r>
      <w:r w:rsidR="000A3979" w:rsidRPr="00320ADF">
        <w:rPr>
          <w:rFonts w:ascii="Times New Roman" w:hAnsi="Times New Roman" w:cs="Times New Roman"/>
        </w:rPr>
        <w:t>wildlife</w:t>
      </w:r>
      <w:r w:rsidR="007F32C0" w:rsidRPr="00320ADF">
        <w:rPr>
          <w:rFonts w:ascii="Times New Roman" w:hAnsi="Times New Roman" w:cs="Times New Roman"/>
        </w:rPr>
        <w:t>, and</w:t>
      </w:r>
      <w:r w:rsidR="00F7416B" w:rsidRPr="00320ADF">
        <w:rPr>
          <w:rFonts w:ascii="Times New Roman" w:hAnsi="Times New Roman" w:cs="Times New Roman"/>
        </w:rPr>
        <w:t xml:space="preserve">, logically, air and </w:t>
      </w:r>
      <w:r w:rsidR="007F32C0" w:rsidRPr="00320ADF">
        <w:rPr>
          <w:rFonts w:ascii="Times New Roman" w:hAnsi="Times New Roman" w:cs="Times New Roman"/>
        </w:rPr>
        <w:t>atmosphere</w:t>
      </w:r>
      <w:r w:rsidR="00DF032A" w:rsidRPr="00320ADF">
        <w:rPr>
          <w:rFonts w:ascii="Times New Roman" w:hAnsi="Times New Roman" w:cs="Times New Roman"/>
        </w:rPr>
        <w:t>.</w:t>
      </w:r>
      <w:r w:rsidR="000A3979" w:rsidRPr="00320ADF">
        <w:rPr>
          <w:rFonts w:ascii="Times New Roman" w:hAnsi="Times New Roman" w:cs="Times New Roman"/>
        </w:rPr>
        <w:t xml:space="preserve">  As trustee, government must protect th</w:t>
      </w:r>
      <w:r w:rsidR="009E570E" w:rsidRPr="00320ADF">
        <w:rPr>
          <w:rFonts w:ascii="Times New Roman" w:hAnsi="Times New Roman" w:cs="Times New Roman"/>
        </w:rPr>
        <w:t>i</w:t>
      </w:r>
      <w:r w:rsidR="00B00255" w:rsidRPr="00320ADF">
        <w:rPr>
          <w:rFonts w:ascii="Times New Roman" w:hAnsi="Times New Roman" w:cs="Times New Roman"/>
        </w:rPr>
        <w:t>s vital</w:t>
      </w:r>
      <w:r w:rsidR="000A3979" w:rsidRPr="00320ADF">
        <w:rPr>
          <w:rFonts w:ascii="Times New Roman" w:hAnsi="Times New Roman" w:cs="Times New Roman"/>
        </w:rPr>
        <w:t xml:space="preserve"> </w:t>
      </w:r>
      <w:r w:rsidR="006638C8" w:rsidRPr="00320ADF">
        <w:rPr>
          <w:rFonts w:ascii="Times New Roman" w:hAnsi="Times New Roman" w:cs="Times New Roman"/>
        </w:rPr>
        <w:t>ecological</w:t>
      </w:r>
      <w:r w:rsidR="000A3979" w:rsidRPr="00320ADF">
        <w:rPr>
          <w:rFonts w:ascii="Times New Roman" w:hAnsi="Times New Roman" w:cs="Times New Roman"/>
        </w:rPr>
        <w:t xml:space="preserve"> endowment for the continued survival </w:t>
      </w:r>
      <w:r w:rsidR="00F7416B" w:rsidRPr="00320ADF">
        <w:rPr>
          <w:rFonts w:ascii="Times New Roman" w:hAnsi="Times New Roman" w:cs="Times New Roman"/>
        </w:rPr>
        <w:t xml:space="preserve">and benefit </w:t>
      </w:r>
      <w:r w:rsidR="000A3979" w:rsidRPr="00320ADF">
        <w:rPr>
          <w:rFonts w:ascii="Times New Roman" w:hAnsi="Times New Roman" w:cs="Times New Roman"/>
        </w:rPr>
        <w:t>of future generations</w:t>
      </w:r>
      <w:r w:rsidR="00DA62A1" w:rsidRPr="00320ADF">
        <w:rPr>
          <w:rFonts w:ascii="Times New Roman" w:hAnsi="Times New Roman" w:cs="Times New Roman"/>
        </w:rPr>
        <w:t xml:space="preserve">.  </w:t>
      </w:r>
      <w:r w:rsidR="009E570E" w:rsidRPr="00320ADF">
        <w:rPr>
          <w:rFonts w:ascii="Times New Roman" w:hAnsi="Times New Roman" w:cs="Times New Roman"/>
        </w:rPr>
        <w:t xml:space="preserve">Government </w:t>
      </w:r>
      <w:r w:rsidR="000A3979" w:rsidRPr="00320ADF">
        <w:rPr>
          <w:rFonts w:ascii="Times New Roman" w:hAnsi="Times New Roman" w:cs="Times New Roman"/>
        </w:rPr>
        <w:t xml:space="preserve">may not </w:t>
      </w:r>
      <w:r w:rsidR="006638C8" w:rsidRPr="00320ADF">
        <w:rPr>
          <w:rFonts w:ascii="Times New Roman" w:hAnsi="Times New Roman" w:cs="Times New Roman"/>
        </w:rPr>
        <w:t xml:space="preserve">irrevocably </w:t>
      </w:r>
      <w:r w:rsidR="000A3979" w:rsidRPr="00320ADF">
        <w:rPr>
          <w:rFonts w:ascii="Times New Roman" w:hAnsi="Times New Roman" w:cs="Times New Roman"/>
        </w:rPr>
        <w:t xml:space="preserve">convey these resources to private parties or allow their </w:t>
      </w:r>
      <w:r w:rsidR="006638C8" w:rsidRPr="00320ADF">
        <w:rPr>
          <w:rFonts w:ascii="Times New Roman" w:hAnsi="Times New Roman" w:cs="Times New Roman"/>
        </w:rPr>
        <w:t>substantial impairment</w:t>
      </w:r>
      <w:r w:rsidR="000A3979" w:rsidRPr="00320ADF">
        <w:rPr>
          <w:rFonts w:ascii="Times New Roman" w:hAnsi="Times New Roman" w:cs="Times New Roman"/>
        </w:rPr>
        <w:t xml:space="preserve">.  </w:t>
      </w:r>
      <w:r w:rsidR="00F7416B" w:rsidRPr="00320ADF">
        <w:rPr>
          <w:rFonts w:ascii="Times New Roman" w:hAnsi="Times New Roman" w:cs="Times New Roman"/>
        </w:rPr>
        <w:t>Such</w:t>
      </w:r>
      <w:r w:rsidR="000A3979" w:rsidRPr="00320ADF">
        <w:rPr>
          <w:rFonts w:ascii="Times New Roman" w:hAnsi="Times New Roman" w:cs="Times New Roman"/>
        </w:rPr>
        <w:t xml:space="preserve"> obligations trace back to public rights announced in</w:t>
      </w:r>
      <w:r w:rsidR="00D0566D" w:rsidRPr="00320ADF">
        <w:rPr>
          <w:rFonts w:ascii="Times New Roman" w:hAnsi="Times New Roman" w:cs="Times New Roman"/>
        </w:rPr>
        <w:t xml:space="preserve"> Roman law </w:t>
      </w:r>
      <w:r w:rsidR="000A3979" w:rsidRPr="00320ADF">
        <w:rPr>
          <w:rFonts w:ascii="Times New Roman" w:hAnsi="Times New Roman" w:cs="Times New Roman"/>
        </w:rPr>
        <w:t xml:space="preserve">and </w:t>
      </w:r>
      <w:r w:rsidR="00F7416B" w:rsidRPr="00320ADF">
        <w:rPr>
          <w:rFonts w:ascii="Times New Roman" w:hAnsi="Times New Roman" w:cs="Times New Roman"/>
        </w:rPr>
        <w:t>are repeatedly recognized</w:t>
      </w:r>
      <w:r w:rsidR="000A3979" w:rsidRPr="00320ADF">
        <w:rPr>
          <w:rFonts w:ascii="Times New Roman" w:hAnsi="Times New Roman" w:cs="Times New Roman"/>
        </w:rPr>
        <w:t xml:space="preserve"> by modern courts.  </w:t>
      </w:r>
    </w:p>
    <w:p w:rsidR="00F7416B" w:rsidRPr="00320ADF" w:rsidRDefault="00DA62A1" w:rsidP="0058606E">
      <w:pPr>
        <w:spacing w:before="100" w:beforeAutospacing="1" w:after="100" w:afterAutospacing="1" w:line="480" w:lineRule="auto"/>
        <w:ind w:firstLine="720"/>
        <w:jc w:val="both"/>
        <w:rPr>
          <w:rFonts w:ascii="Times New Roman" w:hAnsi="Times New Roman" w:cs="Times New Roman"/>
        </w:rPr>
      </w:pPr>
      <w:r w:rsidRPr="00320ADF">
        <w:rPr>
          <w:rFonts w:ascii="Times New Roman" w:hAnsi="Times New Roman" w:cs="Times New Roman"/>
        </w:rPr>
        <w:t>As several decisions have now elaborated, the</w:t>
      </w:r>
      <w:r w:rsidR="000A3979" w:rsidRPr="00320ADF">
        <w:rPr>
          <w:rFonts w:ascii="Times New Roman" w:hAnsi="Times New Roman" w:cs="Times New Roman"/>
        </w:rPr>
        <w:t xml:space="preserve"> public trust </w:t>
      </w:r>
      <w:r w:rsidR="00DD0AAA" w:rsidRPr="00320ADF">
        <w:rPr>
          <w:rFonts w:ascii="Times New Roman" w:hAnsi="Times New Roman" w:cs="Times New Roman"/>
        </w:rPr>
        <w:t xml:space="preserve">emanates from the </w:t>
      </w:r>
      <w:r w:rsidR="000A3979" w:rsidRPr="00320ADF">
        <w:rPr>
          <w:rFonts w:ascii="Times New Roman" w:hAnsi="Times New Roman" w:cs="Times New Roman"/>
        </w:rPr>
        <w:t>“inherent</w:t>
      </w:r>
      <w:r w:rsidR="005E5E8F" w:rsidRPr="00320ADF">
        <w:rPr>
          <w:rFonts w:ascii="Times New Roman" w:hAnsi="Times New Roman" w:cs="Times New Roman"/>
        </w:rPr>
        <w:t xml:space="preserve"> and indefeasible</w:t>
      </w:r>
      <w:r w:rsidR="000A3979" w:rsidRPr="00320ADF">
        <w:rPr>
          <w:rFonts w:ascii="Times New Roman" w:hAnsi="Times New Roman" w:cs="Times New Roman"/>
        </w:rPr>
        <w:t>” rights</w:t>
      </w:r>
      <w:r w:rsidR="00D0566D" w:rsidRPr="00320ADF">
        <w:rPr>
          <w:rFonts w:ascii="Times New Roman" w:hAnsi="Times New Roman" w:cs="Times New Roman"/>
        </w:rPr>
        <w:t xml:space="preserve"> retained by the citizens </w:t>
      </w:r>
      <w:r w:rsidR="00D044DE" w:rsidRPr="00320ADF">
        <w:rPr>
          <w:rFonts w:ascii="Times New Roman" w:hAnsi="Times New Roman" w:cs="Times New Roman"/>
        </w:rPr>
        <w:t>when entering</w:t>
      </w:r>
      <w:r w:rsidR="00D0566D" w:rsidRPr="00320ADF">
        <w:rPr>
          <w:rFonts w:ascii="Times New Roman" w:hAnsi="Times New Roman" w:cs="Times New Roman"/>
        </w:rPr>
        <w:t xml:space="preserve"> into a social compact forming government.</w:t>
      </w:r>
      <w:r w:rsidR="00D0566D" w:rsidRPr="00320ADF">
        <w:rPr>
          <w:rStyle w:val="FootnoteReference"/>
          <w:rFonts w:ascii="Times New Roman" w:hAnsi="Times New Roman" w:cs="Times New Roman"/>
        </w:rPr>
        <w:footnoteReference w:id="7"/>
      </w:r>
      <w:r w:rsidR="00D0566D" w:rsidRPr="00320ADF">
        <w:rPr>
          <w:rFonts w:ascii="Times New Roman" w:hAnsi="Times New Roman" w:cs="Times New Roman"/>
        </w:rPr>
        <w:t xml:space="preserve">  </w:t>
      </w:r>
      <w:r w:rsidR="00DD0AAA" w:rsidRPr="00320ADF">
        <w:rPr>
          <w:rFonts w:ascii="Times New Roman" w:hAnsi="Times New Roman" w:cs="Times New Roman"/>
        </w:rPr>
        <w:t xml:space="preserve">With constitutional force, </w:t>
      </w:r>
      <w:r w:rsidR="004E26DF" w:rsidRPr="00320ADF">
        <w:rPr>
          <w:rFonts w:ascii="Times New Roman" w:hAnsi="Times New Roman" w:cs="Times New Roman"/>
        </w:rPr>
        <w:t>the trust</w:t>
      </w:r>
      <w:r w:rsidR="000A3979" w:rsidRPr="00320ADF">
        <w:rPr>
          <w:rFonts w:ascii="Times New Roman" w:hAnsi="Times New Roman" w:cs="Times New Roman"/>
        </w:rPr>
        <w:t xml:space="preserve"> operates both as a restraint on government</w:t>
      </w:r>
      <w:r w:rsidR="00F7416B" w:rsidRPr="00320ADF">
        <w:rPr>
          <w:rFonts w:ascii="Times New Roman" w:hAnsi="Times New Roman" w:cs="Times New Roman"/>
        </w:rPr>
        <w:t>,</w:t>
      </w:r>
      <w:r w:rsidR="00D0566D" w:rsidRPr="00320ADF">
        <w:rPr>
          <w:rFonts w:ascii="Times New Roman" w:hAnsi="Times New Roman" w:cs="Times New Roman"/>
        </w:rPr>
        <w:t xml:space="preserve"> </w:t>
      </w:r>
      <w:r w:rsidR="00DD0AAA" w:rsidRPr="00320ADF">
        <w:rPr>
          <w:rFonts w:ascii="Times New Roman" w:hAnsi="Times New Roman" w:cs="Times New Roman"/>
        </w:rPr>
        <w:t>disallowing substantial impairment</w:t>
      </w:r>
      <w:r w:rsidR="00D0566D" w:rsidRPr="00320ADF">
        <w:rPr>
          <w:rFonts w:ascii="Times New Roman" w:hAnsi="Times New Roman" w:cs="Times New Roman"/>
        </w:rPr>
        <w:t xml:space="preserve"> to trust resources</w:t>
      </w:r>
      <w:r w:rsidR="00F7416B" w:rsidRPr="00320ADF">
        <w:rPr>
          <w:rFonts w:ascii="Times New Roman" w:hAnsi="Times New Roman" w:cs="Times New Roman"/>
        </w:rPr>
        <w:t>,</w:t>
      </w:r>
      <w:r w:rsidR="000A3979" w:rsidRPr="00320ADF">
        <w:rPr>
          <w:rFonts w:ascii="Times New Roman" w:hAnsi="Times New Roman" w:cs="Times New Roman"/>
        </w:rPr>
        <w:t xml:space="preserve"> and an affirmative obligation</w:t>
      </w:r>
      <w:r w:rsidR="00D0566D" w:rsidRPr="00320ADF">
        <w:rPr>
          <w:rFonts w:ascii="Times New Roman" w:hAnsi="Times New Roman" w:cs="Times New Roman"/>
        </w:rPr>
        <w:t xml:space="preserve"> </w:t>
      </w:r>
      <w:r w:rsidR="000A3979" w:rsidRPr="00320ADF">
        <w:rPr>
          <w:rFonts w:ascii="Times New Roman" w:hAnsi="Times New Roman" w:cs="Times New Roman"/>
        </w:rPr>
        <w:t>to protect th</w:t>
      </w:r>
      <w:r w:rsidR="004E26DF" w:rsidRPr="00320ADF">
        <w:rPr>
          <w:rFonts w:ascii="Times New Roman" w:hAnsi="Times New Roman" w:cs="Times New Roman"/>
        </w:rPr>
        <w:t>ose</w:t>
      </w:r>
      <w:r w:rsidR="000A3979" w:rsidRPr="00320ADF">
        <w:rPr>
          <w:rFonts w:ascii="Times New Roman" w:hAnsi="Times New Roman" w:cs="Times New Roman"/>
        </w:rPr>
        <w:t xml:space="preserve"> resources.  </w:t>
      </w:r>
      <w:r w:rsidR="00BC5719" w:rsidRPr="00320ADF">
        <w:rPr>
          <w:rFonts w:ascii="Times New Roman" w:hAnsi="Times New Roman" w:cs="Times New Roman"/>
        </w:rPr>
        <w:t xml:space="preserve"> </w:t>
      </w:r>
      <w:r w:rsidR="004E26DF" w:rsidRPr="00320ADF">
        <w:rPr>
          <w:rFonts w:ascii="Times New Roman" w:hAnsi="Times New Roman" w:cs="Times New Roman"/>
        </w:rPr>
        <w:t xml:space="preserve">Two </w:t>
      </w:r>
      <w:r w:rsidR="000A3979" w:rsidRPr="00320ADF">
        <w:rPr>
          <w:rFonts w:ascii="Times New Roman" w:hAnsi="Times New Roman" w:cs="Times New Roman"/>
        </w:rPr>
        <w:t xml:space="preserve">ATL </w:t>
      </w:r>
      <w:r w:rsidR="004E26DF" w:rsidRPr="00320ADF">
        <w:rPr>
          <w:rFonts w:ascii="Times New Roman" w:hAnsi="Times New Roman" w:cs="Times New Roman"/>
        </w:rPr>
        <w:t>cases</w:t>
      </w:r>
      <w:r w:rsidR="000A3979" w:rsidRPr="00320ADF">
        <w:rPr>
          <w:rFonts w:ascii="Times New Roman" w:hAnsi="Times New Roman" w:cs="Times New Roman"/>
        </w:rPr>
        <w:t xml:space="preserve"> establish bedrock principles </w:t>
      </w:r>
      <w:r w:rsidR="00D0566D" w:rsidRPr="00320ADF">
        <w:rPr>
          <w:rFonts w:ascii="Times New Roman" w:hAnsi="Times New Roman" w:cs="Times New Roman"/>
        </w:rPr>
        <w:t>ground</w:t>
      </w:r>
      <w:r w:rsidR="004E26DF" w:rsidRPr="00320ADF">
        <w:rPr>
          <w:rFonts w:ascii="Times New Roman" w:hAnsi="Times New Roman" w:cs="Times New Roman"/>
        </w:rPr>
        <w:t>ing</w:t>
      </w:r>
      <w:r w:rsidR="000A3979" w:rsidRPr="00320ADF">
        <w:rPr>
          <w:rFonts w:ascii="Times New Roman" w:hAnsi="Times New Roman" w:cs="Times New Roman"/>
        </w:rPr>
        <w:t xml:space="preserve"> </w:t>
      </w:r>
      <w:r w:rsidR="00D0566D" w:rsidRPr="00320ADF">
        <w:rPr>
          <w:rFonts w:ascii="Times New Roman" w:hAnsi="Times New Roman" w:cs="Times New Roman"/>
        </w:rPr>
        <w:t xml:space="preserve">the </w:t>
      </w:r>
      <w:r w:rsidR="000A3979" w:rsidRPr="00320ADF">
        <w:rPr>
          <w:rFonts w:ascii="Times New Roman" w:hAnsi="Times New Roman" w:cs="Times New Roman"/>
        </w:rPr>
        <w:t xml:space="preserve">atmospheric </w:t>
      </w:r>
      <w:r w:rsidR="00D0566D" w:rsidRPr="00320ADF">
        <w:rPr>
          <w:rFonts w:ascii="Times New Roman" w:hAnsi="Times New Roman" w:cs="Times New Roman"/>
        </w:rPr>
        <w:t>NRD</w:t>
      </w:r>
      <w:r w:rsidR="000A3979" w:rsidRPr="00320ADF">
        <w:rPr>
          <w:rFonts w:ascii="Times New Roman" w:hAnsi="Times New Roman" w:cs="Times New Roman"/>
        </w:rPr>
        <w:t xml:space="preserve"> actions contemplated by this chapter.</w:t>
      </w:r>
      <w:r w:rsidR="00BA6355">
        <w:rPr>
          <w:rFonts w:ascii="Times New Roman" w:hAnsi="Times New Roman" w:cs="Times New Roman"/>
        </w:rPr>
        <w:t xml:space="preserve">  </w:t>
      </w:r>
      <w:r w:rsidR="000A3979" w:rsidRPr="00320ADF">
        <w:rPr>
          <w:rFonts w:ascii="Times New Roman" w:hAnsi="Times New Roman" w:cs="Times New Roman"/>
        </w:rPr>
        <w:t xml:space="preserve">In </w:t>
      </w:r>
      <w:r w:rsidR="000A3979" w:rsidRPr="00320ADF">
        <w:rPr>
          <w:rFonts w:ascii="Times New Roman" w:hAnsi="Times New Roman" w:cs="Times New Roman"/>
          <w:i/>
          <w:iCs/>
        </w:rPr>
        <w:t>Juliana v. United States</w:t>
      </w:r>
      <w:r w:rsidR="000A3979" w:rsidRPr="00320ADF">
        <w:rPr>
          <w:rFonts w:ascii="Times New Roman" w:hAnsi="Times New Roman" w:cs="Times New Roman"/>
        </w:rPr>
        <w:t>, the U.S. District Court of Oregon</w:t>
      </w:r>
      <w:r w:rsidR="000278E5" w:rsidRPr="00320ADF">
        <w:rPr>
          <w:rFonts w:ascii="Times New Roman" w:hAnsi="Times New Roman" w:cs="Times New Roman"/>
        </w:rPr>
        <w:t xml:space="preserve"> </w:t>
      </w:r>
      <w:r w:rsidR="00F7416B" w:rsidRPr="00320ADF">
        <w:rPr>
          <w:rFonts w:ascii="Times New Roman" w:hAnsi="Times New Roman" w:cs="Times New Roman"/>
        </w:rPr>
        <w:t>found a</w:t>
      </w:r>
      <w:r w:rsidR="00D044DE" w:rsidRPr="00320ADF">
        <w:rPr>
          <w:rFonts w:ascii="Times New Roman" w:hAnsi="Times New Roman" w:cs="Times New Roman"/>
        </w:rPr>
        <w:t xml:space="preserve"> federal public trust doctrine </w:t>
      </w:r>
      <w:r w:rsidR="00F7416B" w:rsidRPr="00320ADF">
        <w:rPr>
          <w:rFonts w:ascii="Times New Roman" w:hAnsi="Times New Roman" w:cs="Times New Roman"/>
        </w:rPr>
        <w:t xml:space="preserve">enforceable though the constitution’ </w:t>
      </w:r>
      <w:r w:rsidR="00D044DE" w:rsidRPr="00320ADF">
        <w:rPr>
          <w:rFonts w:ascii="Times New Roman" w:hAnsi="Times New Roman" w:cs="Times New Roman"/>
        </w:rPr>
        <w:t xml:space="preserve">due process clause </w:t>
      </w:r>
      <w:r w:rsidR="00C9262B">
        <w:rPr>
          <w:rFonts w:ascii="Times New Roman" w:hAnsi="Times New Roman" w:cs="Times New Roman"/>
        </w:rPr>
        <w:t>and held</w:t>
      </w:r>
      <w:r w:rsidR="000278E5" w:rsidRPr="00320ADF">
        <w:rPr>
          <w:rFonts w:ascii="Times New Roman" w:hAnsi="Times New Roman" w:cs="Times New Roman"/>
        </w:rPr>
        <w:t xml:space="preserve"> that the </w:t>
      </w:r>
      <w:r w:rsidR="00577C6A" w:rsidRPr="00320ADF">
        <w:rPr>
          <w:rFonts w:ascii="Times New Roman" w:hAnsi="Times New Roman" w:cs="Times New Roman"/>
        </w:rPr>
        <w:t xml:space="preserve">federal </w:t>
      </w:r>
      <w:r w:rsidR="000278E5" w:rsidRPr="00320ADF">
        <w:rPr>
          <w:rFonts w:ascii="Times New Roman" w:hAnsi="Times New Roman" w:cs="Times New Roman"/>
        </w:rPr>
        <w:t xml:space="preserve">government </w:t>
      </w:r>
      <w:r w:rsidR="00F7416B" w:rsidRPr="00320ADF">
        <w:rPr>
          <w:rFonts w:ascii="Times New Roman" w:hAnsi="Times New Roman" w:cs="Times New Roman"/>
        </w:rPr>
        <w:t xml:space="preserve">must protect a </w:t>
      </w:r>
      <w:r w:rsidR="000A3979" w:rsidRPr="00320ADF">
        <w:rPr>
          <w:rFonts w:ascii="Times New Roman" w:hAnsi="Times New Roman" w:cs="Times New Roman"/>
        </w:rPr>
        <w:t>“climate system capable of sustaining human life.”</w:t>
      </w:r>
      <w:r w:rsidR="000A3979" w:rsidRPr="00320ADF">
        <w:rPr>
          <w:rStyle w:val="FootnoteReference"/>
          <w:rFonts w:ascii="Times New Roman" w:hAnsi="Times New Roman" w:cs="Times New Roman"/>
        </w:rPr>
        <w:footnoteReference w:id="8"/>
      </w:r>
      <w:r w:rsidR="000A3979" w:rsidRPr="00320ADF">
        <w:rPr>
          <w:rFonts w:ascii="Times New Roman" w:hAnsi="Times New Roman" w:cs="Times New Roman"/>
        </w:rPr>
        <w:t xml:space="preserve">  </w:t>
      </w:r>
      <w:r w:rsidR="000A3979" w:rsidRPr="00320ADF">
        <w:rPr>
          <w:rFonts w:ascii="Times New Roman" w:hAnsi="Times New Roman" w:cs="Times New Roman"/>
        </w:rPr>
        <w:lastRenderedPageBreak/>
        <w:t xml:space="preserve">Similarly, </w:t>
      </w:r>
      <w:r w:rsidR="000A3979" w:rsidRPr="00320ADF">
        <w:rPr>
          <w:rFonts w:ascii="Times New Roman" w:hAnsi="Times New Roman" w:cs="Times New Roman"/>
          <w:i/>
          <w:iCs/>
        </w:rPr>
        <w:t xml:space="preserve">Foster v. </w:t>
      </w:r>
      <w:r w:rsidR="009050A9">
        <w:rPr>
          <w:rFonts w:ascii="Times New Roman" w:hAnsi="Times New Roman" w:cs="Times New Roman"/>
          <w:i/>
          <w:iCs/>
        </w:rPr>
        <w:t xml:space="preserve">Wash. </w:t>
      </w:r>
      <w:r w:rsidR="000A3979" w:rsidRPr="00320ADF">
        <w:rPr>
          <w:rFonts w:ascii="Times New Roman" w:hAnsi="Times New Roman" w:cs="Times New Roman"/>
          <w:i/>
          <w:iCs/>
        </w:rPr>
        <w:t>Dep</w:t>
      </w:r>
      <w:r w:rsidR="009050A9">
        <w:rPr>
          <w:rFonts w:ascii="Times New Roman" w:hAnsi="Times New Roman" w:cs="Times New Roman"/>
          <w:i/>
          <w:iCs/>
        </w:rPr>
        <w:t>’</w:t>
      </w:r>
      <w:r w:rsidR="000A3979" w:rsidRPr="00320ADF">
        <w:rPr>
          <w:rFonts w:ascii="Times New Roman" w:hAnsi="Times New Roman" w:cs="Times New Roman"/>
          <w:i/>
          <w:iCs/>
        </w:rPr>
        <w:t>t of Ecology</w:t>
      </w:r>
      <w:r w:rsidR="000A3979" w:rsidRPr="00320ADF">
        <w:rPr>
          <w:rFonts w:ascii="Times New Roman" w:hAnsi="Times New Roman" w:cs="Times New Roman"/>
        </w:rPr>
        <w:t xml:space="preserve"> explicitly found an atmospheric trust</w:t>
      </w:r>
      <w:r w:rsidR="00DD0AAA" w:rsidRPr="00320ADF">
        <w:rPr>
          <w:rFonts w:ascii="Times New Roman" w:hAnsi="Times New Roman" w:cs="Times New Roman"/>
        </w:rPr>
        <w:t xml:space="preserve"> </w:t>
      </w:r>
      <w:r w:rsidR="000A3979" w:rsidRPr="00320ADF">
        <w:rPr>
          <w:rFonts w:ascii="Times New Roman" w:hAnsi="Times New Roman" w:cs="Times New Roman"/>
        </w:rPr>
        <w:t xml:space="preserve">constitutionally </w:t>
      </w:r>
      <w:r w:rsidR="00DD0AAA" w:rsidRPr="00320ADF">
        <w:rPr>
          <w:rFonts w:ascii="Times New Roman" w:hAnsi="Times New Roman" w:cs="Times New Roman"/>
        </w:rPr>
        <w:t>compelling</w:t>
      </w:r>
      <w:r w:rsidR="000A3979" w:rsidRPr="00320ADF">
        <w:rPr>
          <w:rFonts w:ascii="Times New Roman" w:hAnsi="Times New Roman" w:cs="Times New Roman"/>
        </w:rPr>
        <w:t xml:space="preserve"> government to restore a healthy climate system.</w:t>
      </w:r>
      <w:r w:rsidR="005B23E7" w:rsidRPr="00320ADF">
        <w:rPr>
          <w:rStyle w:val="FootnoteReference"/>
          <w:rFonts w:ascii="Times New Roman" w:hAnsi="Times New Roman" w:cs="Times New Roman"/>
        </w:rPr>
        <w:footnoteReference w:id="9"/>
      </w:r>
      <w:r w:rsidR="000A3979" w:rsidRPr="00320ADF">
        <w:rPr>
          <w:rFonts w:ascii="Times New Roman" w:hAnsi="Times New Roman" w:cs="Times New Roman"/>
        </w:rPr>
        <w:t xml:space="preserve"> </w:t>
      </w:r>
    </w:p>
    <w:p w:rsidR="000A3979" w:rsidRPr="00320ADF" w:rsidRDefault="00D80787" w:rsidP="0058606E">
      <w:pPr>
        <w:spacing w:before="100" w:beforeAutospacing="1" w:after="100" w:afterAutospacing="1" w:line="480" w:lineRule="auto"/>
        <w:ind w:firstLine="720"/>
        <w:jc w:val="both"/>
        <w:rPr>
          <w:rFonts w:ascii="Times New Roman" w:hAnsi="Times New Roman" w:cs="Times New Roman"/>
        </w:rPr>
      </w:pPr>
      <w:r w:rsidRPr="00320ADF">
        <w:rPr>
          <w:rFonts w:ascii="Times New Roman" w:hAnsi="Times New Roman" w:cs="Times New Roman"/>
        </w:rPr>
        <w:t>The</w:t>
      </w:r>
      <w:r w:rsidR="001B0D86" w:rsidRPr="00320ADF">
        <w:rPr>
          <w:rFonts w:ascii="Times New Roman" w:hAnsi="Times New Roman" w:cs="Times New Roman"/>
        </w:rPr>
        <w:t xml:space="preserve"> same</w:t>
      </w:r>
      <w:r w:rsidR="007C6536" w:rsidRPr="00320ADF">
        <w:rPr>
          <w:rFonts w:ascii="Times New Roman" w:hAnsi="Times New Roman" w:cs="Times New Roman"/>
        </w:rPr>
        <w:t xml:space="preserve"> public trust framework</w:t>
      </w:r>
      <w:r w:rsidR="001B0D86" w:rsidRPr="00320ADF">
        <w:rPr>
          <w:rFonts w:ascii="Times New Roman" w:hAnsi="Times New Roman" w:cs="Times New Roman"/>
        </w:rPr>
        <w:t xml:space="preserve"> should hold</w:t>
      </w:r>
      <w:r w:rsidR="000A3979" w:rsidRPr="00320ADF">
        <w:rPr>
          <w:rFonts w:ascii="Times New Roman" w:hAnsi="Times New Roman" w:cs="Times New Roman"/>
        </w:rPr>
        <w:t xml:space="preserve"> major fossil fuel corporations liable for funding atmospheric recovery.  </w:t>
      </w:r>
      <w:r w:rsidR="00476F85" w:rsidRPr="00320ADF">
        <w:rPr>
          <w:rFonts w:ascii="Times New Roman" w:hAnsi="Times New Roman" w:cs="Times New Roman"/>
        </w:rPr>
        <w:t xml:space="preserve">Traditionally, </w:t>
      </w:r>
      <w:r w:rsidR="000A3979" w:rsidRPr="00320ADF">
        <w:rPr>
          <w:rFonts w:ascii="Times New Roman" w:hAnsi="Times New Roman" w:cs="Times New Roman"/>
        </w:rPr>
        <w:t>polluters</w:t>
      </w:r>
      <w:r w:rsidR="00476F85" w:rsidRPr="00320ADF">
        <w:rPr>
          <w:rFonts w:ascii="Times New Roman" w:hAnsi="Times New Roman" w:cs="Times New Roman"/>
        </w:rPr>
        <w:t xml:space="preserve"> </w:t>
      </w:r>
      <w:r w:rsidR="007C6536" w:rsidRPr="00320ADF">
        <w:rPr>
          <w:rFonts w:ascii="Times New Roman" w:hAnsi="Times New Roman" w:cs="Times New Roman"/>
        </w:rPr>
        <w:t>remain</w:t>
      </w:r>
      <w:r w:rsidR="000A3979" w:rsidRPr="00320ADF">
        <w:rPr>
          <w:rFonts w:ascii="Times New Roman" w:hAnsi="Times New Roman" w:cs="Times New Roman"/>
        </w:rPr>
        <w:t xml:space="preserve"> liable for </w:t>
      </w:r>
      <w:r w:rsidR="00476F85" w:rsidRPr="00320ADF">
        <w:rPr>
          <w:rFonts w:ascii="Times New Roman" w:hAnsi="Times New Roman" w:cs="Times New Roman"/>
        </w:rPr>
        <w:t>n</w:t>
      </w:r>
      <w:r w:rsidR="000A3979" w:rsidRPr="00320ADF">
        <w:rPr>
          <w:rFonts w:ascii="Times New Roman" w:hAnsi="Times New Roman" w:cs="Times New Roman"/>
        </w:rPr>
        <w:t xml:space="preserve">atural </w:t>
      </w:r>
      <w:r w:rsidR="00476F85" w:rsidRPr="00320ADF">
        <w:rPr>
          <w:rFonts w:ascii="Times New Roman" w:hAnsi="Times New Roman" w:cs="Times New Roman"/>
        </w:rPr>
        <w:t>r</w:t>
      </w:r>
      <w:r w:rsidR="000A3979" w:rsidRPr="00320ADF">
        <w:rPr>
          <w:rFonts w:ascii="Times New Roman" w:hAnsi="Times New Roman" w:cs="Times New Roman"/>
        </w:rPr>
        <w:t xml:space="preserve">esource </w:t>
      </w:r>
      <w:r w:rsidR="00476F85" w:rsidRPr="00320ADF">
        <w:rPr>
          <w:rFonts w:ascii="Times New Roman" w:hAnsi="Times New Roman" w:cs="Times New Roman"/>
        </w:rPr>
        <w:t>d</w:t>
      </w:r>
      <w:r w:rsidR="000A3979" w:rsidRPr="00320ADF">
        <w:rPr>
          <w:rFonts w:ascii="Times New Roman" w:hAnsi="Times New Roman" w:cs="Times New Roman"/>
        </w:rPr>
        <w:t>amages to public trust assets</w:t>
      </w:r>
      <w:r w:rsidR="00E97D3E" w:rsidRPr="00320ADF">
        <w:rPr>
          <w:rFonts w:ascii="Times New Roman" w:hAnsi="Times New Roman" w:cs="Times New Roman"/>
        </w:rPr>
        <w:t xml:space="preserve">.  </w:t>
      </w:r>
      <w:r w:rsidR="000A3979" w:rsidRPr="00320ADF">
        <w:rPr>
          <w:rFonts w:ascii="Times New Roman" w:hAnsi="Times New Roman" w:cs="Times New Roman"/>
        </w:rPr>
        <w:t xml:space="preserve">Sovereign </w:t>
      </w:r>
      <w:r w:rsidR="00476F85" w:rsidRPr="00320ADF">
        <w:rPr>
          <w:rFonts w:ascii="Times New Roman" w:hAnsi="Times New Roman" w:cs="Times New Roman"/>
        </w:rPr>
        <w:t>trustees</w:t>
      </w:r>
      <w:r w:rsidR="000A3979" w:rsidRPr="00320ADF">
        <w:rPr>
          <w:rFonts w:ascii="Times New Roman" w:hAnsi="Times New Roman" w:cs="Times New Roman"/>
        </w:rPr>
        <w:t xml:space="preserve"> are obligated to seek recovery of such natural resource damages and apply them towards restoration of the resource. </w:t>
      </w:r>
      <w:r w:rsidR="00115066" w:rsidRPr="00320ADF">
        <w:rPr>
          <w:rFonts w:ascii="Times New Roman" w:hAnsi="Times New Roman" w:cs="Times New Roman"/>
        </w:rPr>
        <w:t>Although</w:t>
      </w:r>
      <w:r w:rsidR="000A3979" w:rsidRPr="00320ADF">
        <w:rPr>
          <w:rFonts w:ascii="Times New Roman" w:hAnsi="Times New Roman" w:cs="Times New Roman"/>
        </w:rPr>
        <w:t xml:space="preserve"> </w:t>
      </w:r>
      <w:r w:rsidR="00E97D3E" w:rsidRPr="00320ADF">
        <w:rPr>
          <w:rFonts w:ascii="Times New Roman" w:hAnsi="Times New Roman" w:cs="Times New Roman"/>
        </w:rPr>
        <w:t xml:space="preserve">the scale of </w:t>
      </w:r>
      <w:r w:rsidR="00115066" w:rsidRPr="00320ADF">
        <w:rPr>
          <w:rFonts w:ascii="Times New Roman" w:hAnsi="Times New Roman" w:cs="Times New Roman"/>
        </w:rPr>
        <w:t xml:space="preserve">ecological </w:t>
      </w:r>
      <w:r w:rsidR="000A3979" w:rsidRPr="00320ADF">
        <w:rPr>
          <w:rFonts w:ascii="Times New Roman" w:hAnsi="Times New Roman" w:cs="Times New Roman"/>
        </w:rPr>
        <w:t xml:space="preserve">recovery </w:t>
      </w:r>
      <w:r w:rsidR="00E97D3E" w:rsidRPr="00320ADF">
        <w:rPr>
          <w:rFonts w:ascii="Times New Roman" w:hAnsi="Times New Roman" w:cs="Times New Roman"/>
        </w:rPr>
        <w:t xml:space="preserve">needed to </w:t>
      </w:r>
      <w:r w:rsidR="00E54667">
        <w:rPr>
          <w:rFonts w:ascii="Times New Roman" w:hAnsi="Times New Roman" w:cs="Times New Roman"/>
        </w:rPr>
        <w:t>s</w:t>
      </w:r>
      <w:r w:rsidR="00E97D3E" w:rsidRPr="00320ADF">
        <w:rPr>
          <w:rFonts w:ascii="Times New Roman" w:hAnsi="Times New Roman" w:cs="Times New Roman"/>
        </w:rPr>
        <w:t>tabilize the climate system is unprecedented</w:t>
      </w:r>
      <w:r w:rsidR="000A3979" w:rsidRPr="00320ADF">
        <w:rPr>
          <w:rFonts w:ascii="Times New Roman" w:hAnsi="Times New Roman" w:cs="Times New Roman"/>
        </w:rPr>
        <w:t xml:space="preserve">, </w:t>
      </w:r>
      <w:r w:rsidR="00E97D3E" w:rsidRPr="00320ADF">
        <w:rPr>
          <w:rFonts w:ascii="Times New Roman" w:hAnsi="Times New Roman" w:cs="Times New Roman"/>
        </w:rPr>
        <w:t xml:space="preserve">nevertheless </w:t>
      </w:r>
      <w:r w:rsidR="000A3979" w:rsidRPr="00320ADF">
        <w:rPr>
          <w:rFonts w:ascii="Times New Roman" w:hAnsi="Times New Roman" w:cs="Times New Roman"/>
        </w:rPr>
        <w:t xml:space="preserve">the </w:t>
      </w:r>
      <w:r w:rsidR="00E97D3E" w:rsidRPr="00320ADF">
        <w:rPr>
          <w:rFonts w:ascii="Times New Roman" w:hAnsi="Times New Roman" w:cs="Times New Roman"/>
        </w:rPr>
        <w:t>basic legal paradigm</w:t>
      </w:r>
      <w:r w:rsidR="000A3979" w:rsidRPr="00320ADF">
        <w:rPr>
          <w:rFonts w:ascii="Times New Roman" w:hAnsi="Times New Roman" w:cs="Times New Roman"/>
        </w:rPr>
        <w:t xml:space="preserve"> </w:t>
      </w:r>
      <w:r w:rsidR="00E97D3E" w:rsidRPr="00320ADF">
        <w:rPr>
          <w:rFonts w:ascii="Times New Roman" w:hAnsi="Times New Roman" w:cs="Times New Roman"/>
        </w:rPr>
        <w:t xml:space="preserve">is no different than </w:t>
      </w:r>
      <w:r w:rsidR="00BB52CF">
        <w:rPr>
          <w:rFonts w:ascii="Times New Roman" w:hAnsi="Times New Roman" w:cs="Times New Roman"/>
        </w:rPr>
        <w:t xml:space="preserve">the </w:t>
      </w:r>
      <w:r w:rsidRPr="00320ADF">
        <w:rPr>
          <w:rFonts w:ascii="Times New Roman" w:hAnsi="Times New Roman" w:cs="Times New Roman"/>
        </w:rPr>
        <w:t>principle</w:t>
      </w:r>
      <w:r w:rsidR="00BB52CF">
        <w:rPr>
          <w:rFonts w:ascii="Times New Roman" w:hAnsi="Times New Roman" w:cs="Times New Roman"/>
        </w:rPr>
        <w:t xml:space="preserve">’s </w:t>
      </w:r>
      <w:r w:rsidR="00E97D3E" w:rsidRPr="00320ADF">
        <w:rPr>
          <w:rFonts w:ascii="Times New Roman" w:hAnsi="Times New Roman" w:cs="Times New Roman"/>
        </w:rPr>
        <w:t xml:space="preserve">regular </w:t>
      </w:r>
      <w:r w:rsidR="00BB52CF">
        <w:rPr>
          <w:rFonts w:ascii="Times New Roman" w:hAnsi="Times New Roman" w:cs="Times New Roman"/>
        </w:rPr>
        <w:t>application</w:t>
      </w:r>
      <w:r w:rsidR="00BB52CF" w:rsidRPr="00320ADF">
        <w:rPr>
          <w:rFonts w:ascii="Times New Roman" w:hAnsi="Times New Roman" w:cs="Times New Roman"/>
        </w:rPr>
        <w:t xml:space="preserve"> </w:t>
      </w:r>
      <w:r w:rsidR="000A3979" w:rsidRPr="00320ADF">
        <w:rPr>
          <w:rFonts w:ascii="Times New Roman" w:hAnsi="Times New Roman" w:cs="Times New Roman"/>
        </w:rPr>
        <w:t xml:space="preserve">to </w:t>
      </w:r>
      <w:r w:rsidR="00E97D3E" w:rsidRPr="00320ADF">
        <w:rPr>
          <w:rFonts w:ascii="Times New Roman" w:hAnsi="Times New Roman" w:cs="Times New Roman"/>
        </w:rPr>
        <w:t xml:space="preserve">more </w:t>
      </w:r>
      <w:r w:rsidR="000A3979" w:rsidRPr="00320ADF">
        <w:rPr>
          <w:rFonts w:ascii="Times New Roman" w:hAnsi="Times New Roman" w:cs="Times New Roman"/>
        </w:rPr>
        <w:t xml:space="preserve">discrete </w:t>
      </w:r>
      <w:r w:rsidR="00E97D3E" w:rsidRPr="00320ADF">
        <w:rPr>
          <w:rFonts w:ascii="Times New Roman" w:hAnsi="Times New Roman" w:cs="Times New Roman"/>
        </w:rPr>
        <w:t>contexts, such as an oil spill in marine waters</w:t>
      </w:r>
      <w:r w:rsidR="000A3979" w:rsidRPr="00320ADF">
        <w:rPr>
          <w:rFonts w:ascii="Times New Roman" w:hAnsi="Times New Roman" w:cs="Times New Roman"/>
        </w:rPr>
        <w:t xml:space="preserve">.  </w:t>
      </w:r>
    </w:p>
    <w:p w:rsidR="000A3979" w:rsidRPr="00320ADF" w:rsidRDefault="000A3979" w:rsidP="00BF1483">
      <w:pPr>
        <w:pStyle w:val="ListParagraph"/>
        <w:numPr>
          <w:ilvl w:val="0"/>
          <w:numId w:val="20"/>
        </w:numPr>
        <w:spacing w:line="480" w:lineRule="auto"/>
        <w:jc w:val="both"/>
      </w:pPr>
      <w:r w:rsidRPr="00320ADF">
        <w:rPr>
          <w:b/>
          <w:bCs/>
        </w:rPr>
        <w:t xml:space="preserve">ATMOSPHERIC NRDS </w:t>
      </w:r>
    </w:p>
    <w:p w:rsidR="000A3979" w:rsidRPr="00320ADF" w:rsidRDefault="00796A69" w:rsidP="000A3979">
      <w:pPr>
        <w:spacing w:line="480" w:lineRule="auto"/>
        <w:ind w:firstLine="720"/>
        <w:jc w:val="both"/>
        <w:rPr>
          <w:rFonts w:ascii="Times New Roman" w:hAnsi="Times New Roman" w:cs="Times New Roman"/>
        </w:rPr>
      </w:pPr>
      <w:r w:rsidRPr="00320ADF">
        <w:rPr>
          <w:rFonts w:ascii="Times New Roman" w:hAnsi="Times New Roman" w:cs="Times New Roman"/>
        </w:rPr>
        <w:t>It is important to distinguish atmospheric</w:t>
      </w:r>
      <w:r w:rsidR="000A3979" w:rsidRPr="00320ADF">
        <w:rPr>
          <w:rFonts w:ascii="Times New Roman" w:hAnsi="Times New Roman" w:cs="Times New Roman"/>
        </w:rPr>
        <w:t xml:space="preserve"> </w:t>
      </w:r>
      <w:r w:rsidRPr="00320ADF">
        <w:rPr>
          <w:rFonts w:ascii="Times New Roman" w:hAnsi="Times New Roman" w:cs="Times New Roman"/>
        </w:rPr>
        <w:t xml:space="preserve">natural resource damages </w:t>
      </w:r>
      <w:r w:rsidR="000A3979" w:rsidRPr="00320ADF">
        <w:rPr>
          <w:rFonts w:ascii="Times New Roman" w:hAnsi="Times New Roman" w:cs="Times New Roman"/>
        </w:rPr>
        <w:t xml:space="preserve">from other categories of </w:t>
      </w:r>
      <w:r w:rsidR="00FC2892">
        <w:rPr>
          <w:rFonts w:ascii="Times New Roman" w:hAnsi="Times New Roman" w:cs="Times New Roman"/>
        </w:rPr>
        <w:t xml:space="preserve">climate </w:t>
      </w:r>
      <w:r w:rsidR="000A3979" w:rsidRPr="00320ADF">
        <w:rPr>
          <w:rFonts w:ascii="Times New Roman" w:hAnsi="Times New Roman" w:cs="Times New Roman"/>
        </w:rPr>
        <w:t xml:space="preserve">losses and damages, </w:t>
      </w:r>
      <w:r w:rsidRPr="00320ADF">
        <w:rPr>
          <w:rFonts w:ascii="Times New Roman" w:hAnsi="Times New Roman" w:cs="Times New Roman"/>
        </w:rPr>
        <w:t>because</w:t>
      </w:r>
      <w:r w:rsidR="000A3979" w:rsidRPr="00320ADF">
        <w:rPr>
          <w:rFonts w:ascii="Times New Roman" w:hAnsi="Times New Roman" w:cs="Times New Roman"/>
        </w:rPr>
        <w:t xml:space="preserve"> there is </w:t>
      </w:r>
      <w:r w:rsidR="00F7416B" w:rsidRPr="00320ADF">
        <w:rPr>
          <w:rFonts w:ascii="Times New Roman" w:hAnsi="Times New Roman" w:cs="Times New Roman"/>
        </w:rPr>
        <w:t xml:space="preserve">simply </w:t>
      </w:r>
      <w:r w:rsidR="000A3979" w:rsidRPr="00320ADF">
        <w:rPr>
          <w:rFonts w:ascii="Times New Roman" w:hAnsi="Times New Roman" w:cs="Times New Roman"/>
        </w:rPr>
        <w:t xml:space="preserve">not enough money in the world to pay for all of the </w:t>
      </w:r>
      <w:r w:rsidRPr="00320ADF">
        <w:rPr>
          <w:rFonts w:ascii="Times New Roman" w:hAnsi="Times New Roman" w:cs="Times New Roman"/>
        </w:rPr>
        <w:t>harm</w:t>
      </w:r>
      <w:r w:rsidR="000A3979" w:rsidRPr="00320ADF">
        <w:rPr>
          <w:rFonts w:ascii="Times New Roman" w:hAnsi="Times New Roman" w:cs="Times New Roman"/>
        </w:rPr>
        <w:t xml:space="preserve"> unleashed by the fossil fuel industry. </w:t>
      </w:r>
      <w:r w:rsidR="00FC2892">
        <w:rPr>
          <w:rFonts w:ascii="Times New Roman" w:hAnsi="Times New Roman" w:cs="Times New Roman"/>
        </w:rPr>
        <w:t xml:space="preserve"> Its carbon dioxide</w:t>
      </w:r>
      <w:r w:rsidR="00FC2892" w:rsidRPr="00320ADF">
        <w:rPr>
          <w:rFonts w:ascii="Times New Roman" w:hAnsi="Times New Roman" w:cs="Times New Roman"/>
        </w:rPr>
        <w:t xml:space="preserve"> pollution</w:t>
      </w:r>
      <w:r w:rsidR="00FC2892">
        <w:rPr>
          <w:rFonts w:ascii="Times New Roman" w:hAnsi="Times New Roman" w:cs="Times New Roman"/>
        </w:rPr>
        <w:t xml:space="preserve"> create</w:t>
      </w:r>
      <w:r w:rsidR="00917B62">
        <w:rPr>
          <w:rFonts w:ascii="Times New Roman" w:hAnsi="Times New Roman" w:cs="Times New Roman"/>
        </w:rPr>
        <w:t>s</w:t>
      </w:r>
      <w:r w:rsidR="00FC2892">
        <w:rPr>
          <w:rFonts w:ascii="Times New Roman" w:hAnsi="Times New Roman" w:cs="Times New Roman"/>
        </w:rPr>
        <w:t xml:space="preserve"> at</w:t>
      </w:r>
      <w:r w:rsidR="000A3979" w:rsidRPr="00320ADF">
        <w:rPr>
          <w:rFonts w:ascii="Times New Roman" w:hAnsi="Times New Roman" w:cs="Times New Roman"/>
        </w:rPr>
        <w:t xml:space="preserve"> least six categories</w:t>
      </w:r>
      <w:r w:rsidR="003E5DB5" w:rsidRPr="00320ADF">
        <w:rPr>
          <w:rFonts w:ascii="Times New Roman" w:hAnsi="Times New Roman" w:cs="Times New Roman"/>
        </w:rPr>
        <w:t xml:space="preserve"> of </w:t>
      </w:r>
      <w:r w:rsidR="00DD4E5A" w:rsidRPr="00320ADF">
        <w:rPr>
          <w:rFonts w:ascii="Times New Roman" w:hAnsi="Times New Roman" w:cs="Times New Roman"/>
        </w:rPr>
        <w:t xml:space="preserve">world-wide </w:t>
      </w:r>
      <w:r w:rsidR="003E5DB5" w:rsidRPr="00320ADF">
        <w:rPr>
          <w:rFonts w:ascii="Times New Roman" w:hAnsi="Times New Roman" w:cs="Times New Roman"/>
        </w:rPr>
        <w:t>harm</w:t>
      </w:r>
      <w:r w:rsidR="000A3979" w:rsidRPr="00320ADF">
        <w:rPr>
          <w:rFonts w:ascii="Times New Roman" w:hAnsi="Times New Roman" w:cs="Times New Roman"/>
        </w:rPr>
        <w:t xml:space="preserve">:  1) death and injury; 2) property loss; 3) economic loss; 4) community relocation expense; 5) community adaptation expense; and 6) </w:t>
      </w:r>
      <w:r w:rsidR="001D133A">
        <w:rPr>
          <w:rFonts w:ascii="Times New Roman" w:hAnsi="Times New Roman" w:cs="Times New Roman"/>
        </w:rPr>
        <w:t xml:space="preserve">atmospheric and other </w:t>
      </w:r>
      <w:r w:rsidR="00D27889">
        <w:rPr>
          <w:rFonts w:ascii="Times New Roman" w:hAnsi="Times New Roman" w:cs="Times New Roman"/>
        </w:rPr>
        <w:t>ecological damage</w:t>
      </w:r>
      <w:r w:rsidR="00D80787" w:rsidRPr="00320ADF">
        <w:rPr>
          <w:rFonts w:ascii="Times New Roman" w:hAnsi="Times New Roman" w:cs="Times New Roman"/>
        </w:rPr>
        <w:t>.</w:t>
      </w:r>
      <w:r w:rsidR="001D133A">
        <w:rPr>
          <w:rFonts w:ascii="Times New Roman" w:hAnsi="Times New Roman" w:cs="Times New Roman"/>
        </w:rPr>
        <w:t xml:space="preserve"> </w:t>
      </w:r>
      <w:r w:rsidR="000A3979" w:rsidRPr="00320ADF">
        <w:rPr>
          <w:rFonts w:ascii="Times New Roman" w:hAnsi="Times New Roman" w:cs="Times New Roman"/>
        </w:rPr>
        <w:t xml:space="preserve"> </w:t>
      </w:r>
      <w:r w:rsidR="003E5DB5" w:rsidRPr="00320ADF">
        <w:rPr>
          <w:rFonts w:ascii="Times New Roman" w:hAnsi="Times New Roman" w:cs="Times New Roman"/>
        </w:rPr>
        <w:t>Compensating for losses in the</w:t>
      </w:r>
      <w:r w:rsidR="000A3979" w:rsidRPr="00320ADF">
        <w:rPr>
          <w:rFonts w:ascii="Times New Roman" w:hAnsi="Times New Roman" w:cs="Times New Roman"/>
        </w:rPr>
        <w:t xml:space="preserve"> first five categories</w:t>
      </w:r>
      <w:r w:rsidR="003E5DB5" w:rsidRPr="00320ADF">
        <w:rPr>
          <w:rFonts w:ascii="Times New Roman" w:hAnsi="Times New Roman" w:cs="Times New Roman"/>
        </w:rPr>
        <w:t xml:space="preserve">, </w:t>
      </w:r>
      <w:r w:rsidR="00D80787" w:rsidRPr="00320ADF">
        <w:rPr>
          <w:rFonts w:ascii="Times New Roman" w:hAnsi="Times New Roman" w:cs="Times New Roman"/>
        </w:rPr>
        <w:t>though</w:t>
      </w:r>
      <w:r w:rsidR="003E5DB5" w:rsidRPr="00320ADF">
        <w:rPr>
          <w:rFonts w:ascii="Times New Roman" w:hAnsi="Times New Roman" w:cs="Times New Roman"/>
        </w:rPr>
        <w:t xml:space="preserve"> </w:t>
      </w:r>
      <w:r w:rsidR="000A3979" w:rsidRPr="00320ADF">
        <w:rPr>
          <w:rFonts w:ascii="Times New Roman" w:hAnsi="Times New Roman" w:cs="Times New Roman"/>
        </w:rPr>
        <w:t>unquestionably compelling</w:t>
      </w:r>
      <w:r w:rsidR="00D80787" w:rsidRPr="00320ADF">
        <w:rPr>
          <w:rFonts w:ascii="Times New Roman" w:hAnsi="Times New Roman" w:cs="Times New Roman"/>
        </w:rPr>
        <w:t xml:space="preserve"> in human terms</w:t>
      </w:r>
      <w:r w:rsidR="000A3979" w:rsidRPr="00320ADF">
        <w:rPr>
          <w:rFonts w:ascii="Times New Roman" w:hAnsi="Times New Roman" w:cs="Times New Roman"/>
        </w:rPr>
        <w:t xml:space="preserve">, </w:t>
      </w:r>
      <w:r w:rsidR="00D80787" w:rsidRPr="00320ADF">
        <w:rPr>
          <w:rFonts w:ascii="Times New Roman" w:hAnsi="Times New Roman" w:cs="Times New Roman"/>
        </w:rPr>
        <w:t>achieves</w:t>
      </w:r>
      <w:r w:rsidR="003E5DB5" w:rsidRPr="00320ADF">
        <w:rPr>
          <w:rFonts w:ascii="Times New Roman" w:hAnsi="Times New Roman" w:cs="Times New Roman"/>
        </w:rPr>
        <w:t xml:space="preserve"> nothing </w:t>
      </w:r>
      <w:r w:rsidR="00D80787" w:rsidRPr="00320ADF">
        <w:rPr>
          <w:rFonts w:ascii="Times New Roman" w:hAnsi="Times New Roman" w:cs="Times New Roman"/>
        </w:rPr>
        <w:t>in terms of</w:t>
      </w:r>
      <w:r w:rsidR="000A3979" w:rsidRPr="00320ADF">
        <w:rPr>
          <w:rFonts w:ascii="Times New Roman" w:hAnsi="Times New Roman" w:cs="Times New Roman"/>
        </w:rPr>
        <w:t xml:space="preserve"> </w:t>
      </w:r>
      <w:r w:rsidR="002C7223" w:rsidRPr="00320ADF">
        <w:rPr>
          <w:rFonts w:ascii="Times New Roman" w:hAnsi="Times New Roman" w:cs="Times New Roman"/>
        </w:rPr>
        <w:t>climate system</w:t>
      </w:r>
      <w:r w:rsidR="00D80787" w:rsidRPr="00320ADF">
        <w:rPr>
          <w:rFonts w:ascii="Times New Roman" w:hAnsi="Times New Roman" w:cs="Times New Roman"/>
        </w:rPr>
        <w:t xml:space="preserve"> recovery</w:t>
      </w:r>
      <w:r w:rsidR="00BF1483" w:rsidRPr="00320ADF">
        <w:rPr>
          <w:rFonts w:ascii="Times New Roman" w:hAnsi="Times New Roman" w:cs="Times New Roman"/>
        </w:rPr>
        <w:t xml:space="preserve">.  Moreover, </w:t>
      </w:r>
      <w:r w:rsidR="002C7223" w:rsidRPr="00320ADF">
        <w:rPr>
          <w:rFonts w:ascii="Times New Roman" w:hAnsi="Times New Roman" w:cs="Times New Roman"/>
        </w:rPr>
        <w:t>all</w:t>
      </w:r>
      <w:r w:rsidR="003E5DB5" w:rsidRPr="00320ADF">
        <w:rPr>
          <w:rFonts w:ascii="Times New Roman" w:hAnsi="Times New Roman" w:cs="Times New Roman"/>
        </w:rPr>
        <w:t xml:space="preserve"> </w:t>
      </w:r>
      <w:r w:rsidR="002C7223" w:rsidRPr="00320ADF">
        <w:rPr>
          <w:rFonts w:ascii="Times New Roman" w:hAnsi="Times New Roman" w:cs="Times New Roman"/>
        </w:rPr>
        <w:t>five categories</w:t>
      </w:r>
      <w:r w:rsidR="003E5DB5" w:rsidRPr="00320ADF">
        <w:rPr>
          <w:rFonts w:ascii="Times New Roman" w:hAnsi="Times New Roman" w:cs="Times New Roman"/>
        </w:rPr>
        <w:t xml:space="preserve"> of damage will only </w:t>
      </w:r>
      <w:r w:rsidR="000A3979" w:rsidRPr="00320ADF">
        <w:rPr>
          <w:rFonts w:ascii="Times New Roman" w:hAnsi="Times New Roman" w:cs="Times New Roman"/>
        </w:rPr>
        <w:t xml:space="preserve">worsen as </w:t>
      </w:r>
      <w:r w:rsidR="00D80787" w:rsidRPr="00320ADF">
        <w:rPr>
          <w:rFonts w:ascii="Times New Roman" w:hAnsi="Times New Roman" w:cs="Times New Roman"/>
        </w:rPr>
        <w:t>the</w:t>
      </w:r>
      <w:r w:rsidR="00DD4E5A" w:rsidRPr="00320ADF">
        <w:rPr>
          <w:rFonts w:ascii="Times New Roman" w:hAnsi="Times New Roman" w:cs="Times New Roman"/>
        </w:rPr>
        <w:t xml:space="preserve"> climate</w:t>
      </w:r>
      <w:r w:rsidR="002C7223" w:rsidRPr="00320ADF">
        <w:rPr>
          <w:rFonts w:ascii="Times New Roman" w:hAnsi="Times New Roman" w:cs="Times New Roman"/>
        </w:rPr>
        <w:t xml:space="preserve"> system</w:t>
      </w:r>
      <w:r w:rsidR="000A3979" w:rsidRPr="00320ADF">
        <w:rPr>
          <w:rFonts w:ascii="Times New Roman" w:hAnsi="Times New Roman" w:cs="Times New Roman"/>
        </w:rPr>
        <w:t xml:space="preserve"> spins out of control.  </w:t>
      </w:r>
      <w:r w:rsidR="002C7223" w:rsidRPr="00320ADF">
        <w:rPr>
          <w:rFonts w:ascii="Times New Roman" w:hAnsi="Times New Roman" w:cs="Times New Roman"/>
        </w:rPr>
        <w:t>A</w:t>
      </w:r>
      <w:r w:rsidR="00535B3A" w:rsidRPr="00320ADF">
        <w:rPr>
          <w:rFonts w:ascii="Times New Roman" w:hAnsi="Times New Roman" w:cs="Times New Roman"/>
        </w:rPr>
        <w:t>tmospheric NRDs are geared towards actually fixing the crisis that the industry has created.</w:t>
      </w:r>
      <w:r w:rsidR="001D133A">
        <w:rPr>
          <w:rFonts w:ascii="Times New Roman" w:hAnsi="Times New Roman" w:cs="Times New Roman"/>
        </w:rPr>
        <w:t xml:space="preserve">  </w:t>
      </w:r>
      <w:r w:rsidR="000A3979" w:rsidRPr="00320ADF">
        <w:rPr>
          <w:rFonts w:ascii="Times New Roman" w:hAnsi="Times New Roman" w:cs="Times New Roman"/>
        </w:rPr>
        <w:t xml:space="preserve">Successful </w:t>
      </w:r>
      <w:r w:rsidR="000A3979" w:rsidRPr="00320ADF">
        <w:rPr>
          <w:rFonts w:ascii="Times New Roman" w:hAnsi="Times New Roman" w:cs="Times New Roman"/>
        </w:rPr>
        <w:lastRenderedPageBreak/>
        <w:t xml:space="preserve">atmospheric NRD lawsuits will secure </w:t>
      </w:r>
      <w:r w:rsidR="00535B3A" w:rsidRPr="00320ADF">
        <w:rPr>
          <w:rFonts w:ascii="Times New Roman" w:hAnsi="Times New Roman" w:cs="Times New Roman"/>
        </w:rPr>
        <w:t>funding</w:t>
      </w:r>
      <w:r w:rsidR="000A3979" w:rsidRPr="00320ADF">
        <w:rPr>
          <w:rFonts w:ascii="Times New Roman" w:hAnsi="Times New Roman" w:cs="Times New Roman"/>
        </w:rPr>
        <w:t xml:space="preserve"> to</w:t>
      </w:r>
      <w:r w:rsidR="00535B3A" w:rsidRPr="00320ADF">
        <w:rPr>
          <w:rFonts w:ascii="Times New Roman" w:hAnsi="Times New Roman" w:cs="Times New Roman"/>
        </w:rPr>
        <w:t xml:space="preserve"> </w:t>
      </w:r>
      <w:r w:rsidR="00DD4E5A" w:rsidRPr="00320ADF">
        <w:rPr>
          <w:rFonts w:ascii="Times New Roman" w:hAnsi="Times New Roman" w:cs="Times New Roman"/>
        </w:rPr>
        <w:t xml:space="preserve">remove </w:t>
      </w:r>
      <w:r w:rsidR="007C3F3C" w:rsidRPr="00320ADF">
        <w:rPr>
          <w:w w:val="110"/>
        </w:rPr>
        <w:t>CO</w:t>
      </w:r>
      <w:r w:rsidR="007C3F3C" w:rsidRPr="00410451">
        <w:rPr>
          <w:w w:val="110"/>
          <w:vertAlign w:val="subscript"/>
        </w:rPr>
        <w:t>2</w:t>
      </w:r>
      <w:r w:rsidR="007C3F3C">
        <w:rPr>
          <w:w w:val="110"/>
          <w:vertAlign w:val="subscript"/>
        </w:rPr>
        <w:t xml:space="preserve"> </w:t>
      </w:r>
      <w:r w:rsidR="00E87484" w:rsidRPr="00320ADF">
        <w:rPr>
          <w:rFonts w:ascii="Times New Roman" w:hAnsi="Times New Roman" w:cs="Times New Roman"/>
        </w:rPr>
        <w:t>from the atmosphere</w:t>
      </w:r>
      <w:r w:rsidR="00486AB1" w:rsidRPr="00320ADF">
        <w:rPr>
          <w:rFonts w:ascii="Times New Roman" w:hAnsi="Times New Roman" w:cs="Times New Roman"/>
        </w:rPr>
        <w:t xml:space="preserve"> and sequester carbon in </w:t>
      </w:r>
      <w:r w:rsidR="00DD4E5A" w:rsidRPr="00320ADF">
        <w:rPr>
          <w:rFonts w:ascii="Times New Roman" w:hAnsi="Times New Roman" w:cs="Times New Roman"/>
        </w:rPr>
        <w:t xml:space="preserve">vegetation and </w:t>
      </w:r>
      <w:r w:rsidR="00486AB1" w:rsidRPr="00320ADF">
        <w:rPr>
          <w:rFonts w:ascii="Times New Roman" w:hAnsi="Times New Roman" w:cs="Times New Roman"/>
        </w:rPr>
        <w:t>soil</w:t>
      </w:r>
      <w:r w:rsidR="000A3979" w:rsidRPr="00320ADF">
        <w:rPr>
          <w:rFonts w:ascii="Times New Roman" w:hAnsi="Times New Roman" w:cs="Times New Roman"/>
        </w:rPr>
        <w:t>.</w:t>
      </w:r>
      <w:r w:rsidR="001D133A">
        <w:rPr>
          <w:rStyle w:val="FootnoteReference"/>
          <w:rFonts w:ascii="Times New Roman" w:hAnsi="Times New Roman" w:cs="Times New Roman"/>
        </w:rPr>
        <w:footnoteReference w:id="10"/>
      </w:r>
      <w:r w:rsidR="00D80787" w:rsidRPr="00320ADF">
        <w:rPr>
          <w:rFonts w:ascii="Times New Roman" w:hAnsi="Times New Roman" w:cs="Times New Roman"/>
        </w:rPr>
        <w:t xml:space="preserve">    </w:t>
      </w:r>
    </w:p>
    <w:p w:rsidR="000A3979" w:rsidRPr="00320ADF" w:rsidRDefault="000A3979" w:rsidP="000A3979">
      <w:pPr>
        <w:autoSpaceDE w:val="0"/>
        <w:autoSpaceDN w:val="0"/>
        <w:adjustRightInd w:val="0"/>
        <w:spacing w:line="480" w:lineRule="auto"/>
        <w:jc w:val="both"/>
        <w:rPr>
          <w:rFonts w:ascii="Times New Roman" w:hAnsi="Times New Roman" w:cs="Times New Roman"/>
        </w:rPr>
      </w:pPr>
      <w:r w:rsidRPr="00320ADF">
        <w:rPr>
          <w:rFonts w:ascii="Times New Roman" w:hAnsi="Times New Roman" w:cs="Times New Roman"/>
        </w:rPr>
        <w:tab/>
        <w:t xml:space="preserve">Having the singular purpose of </w:t>
      </w:r>
      <w:r w:rsidRPr="00320ADF">
        <w:rPr>
          <w:rFonts w:ascii="Times New Roman" w:hAnsi="Times New Roman" w:cs="Times New Roman"/>
          <w:i/>
          <w:iCs/>
        </w:rPr>
        <w:t>cleaning up</w:t>
      </w:r>
      <w:r w:rsidRPr="00320ADF">
        <w:rPr>
          <w:rFonts w:ascii="Times New Roman" w:hAnsi="Times New Roman" w:cs="Times New Roman"/>
        </w:rPr>
        <w:t xml:space="preserve"> the atmosphere of historic excess carbon dioxide, </w:t>
      </w:r>
      <w:r w:rsidR="00FF58B5" w:rsidRPr="00320ADF">
        <w:rPr>
          <w:rFonts w:ascii="Times New Roman" w:hAnsi="Times New Roman" w:cs="Times New Roman"/>
        </w:rPr>
        <w:t xml:space="preserve">projects funded through atmospheric NRDs may not be used to “offset” further pollution.  </w:t>
      </w:r>
      <w:r w:rsidRPr="00320ADF">
        <w:rPr>
          <w:rFonts w:ascii="Times New Roman" w:hAnsi="Times New Roman" w:cs="Times New Roman"/>
        </w:rPr>
        <w:t xml:space="preserve"> “Offsets” are controversial regulatory tools used to legalize continued greenhouse gas pollution as long as the polluter buys some sort of carbon sequestration project (such as forest conservation) to “offset” </w:t>
      </w:r>
      <w:r w:rsidR="00C57797" w:rsidRPr="00320ADF">
        <w:rPr>
          <w:rFonts w:ascii="Times New Roman" w:hAnsi="Times New Roman" w:cs="Times New Roman"/>
        </w:rPr>
        <w:t xml:space="preserve">that </w:t>
      </w:r>
      <w:r w:rsidRPr="00320ADF">
        <w:rPr>
          <w:rFonts w:ascii="Times New Roman" w:hAnsi="Times New Roman" w:cs="Times New Roman"/>
        </w:rPr>
        <w:t>pollution</w:t>
      </w:r>
      <w:r w:rsidR="00F050C6" w:rsidRPr="00320ADF">
        <w:rPr>
          <w:rFonts w:ascii="Times New Roman" w:hAnsi="Times New Roman" w:cs="Times New Roman"/>
        </w:rPr>
        <w:t xml:space="preserve">.  </w:t>
      </w:r>
      <w:r w:rsidRPr="00320ADF">
        <w:rPr>
          <w:rFonts w:ascii="Times New Roman" w:hAnsi="Times New Roman" w:cs="Times New Roman"/>
        </w:rPr>
        <w:t xml:space="preserve">The same </w:t>
      </w:r>
      <w:r w:rsidR="00B81C10" w:rsidRPr="00320ADF">
        <w:rPr>
          <w:rFonts w:ascii="Times New Roman" w:hAnsi="Times New Roman" w:cs="Times New Roman"/>
        </w:rPr>
        <w:t xml:space="preserve">sequestration </w:t>
      </w:r>
      <w:r w:rsidRPr="00320ADF">
        <w:rPr>
          <w:rFonts w:ascii="Times New Roman" w:hAnsi="Times New Roman" w:cs="Times New Roman"/>
        </w:rPr>
        <w:t xml:space="preserve">projects can be used either as offsets or measures </w:t>
      </w:r>
      <w:r w:rsidR="00F050C6" w:rsidRPr="00320ADF">
        <w:rPr>
          <w:rFonts w:ascii="Times New Roman" w:hAnsi="Times New Roman" w:cs="Times New Roman"/>
        </w:rPr>
        <w:t xml:space="preserve">or </w:t>
      </w:r>
      <w:r w:rsidRPr="00320ADF">
        <w:rPr>
          <w:rFonts w:ascii="Times New Roman" w:hAnsi="Times New Roman" w:cs="Times New Roman"/>
        </w:rPr>
        <w:t xml:space="preserve">to clean up the sky, but it is vital to differentiate the two.   Offset programs </w:t>
      </w:r>
      <w:r w:rsidR="00D80787" w:rsidRPr="00320ADF">
        <w:rPr>
          <w:rFonts w:ascii="Times New Roman" w:hAnsi="Times New Roman" w:cs="Times New Roman"/>
        </w:rPr>
        <w:t>remain</w:t>
      </w:r>
      <w:r w:rsidRPr="00320ADF">
        <w:rPr>
          <w:rFonts w:ascii="Times New Roman" w:hAnsi="Times New Roman" w:cs="Times New Roman"/>
        </w:rPr>
        <w:t xml:space="preserve"> fatally misguided, because they simply legalize continued pollution</w:t>
      </w:r>
      <w:r w:rsidR="00B81C10" w:rsidRPr="00320ADF">
        <w:rPr>
          <w:rFonts w:ascii="Times New Roman" w:hAnsi="Times New Roman" w:cs="Times New Roman"/>
        </w:rPr>
        <w:t xml:space="preserve"> </w:t>
      </w:r>
      <w:r w:rsidRPr="00320ADF">
        <w:rPr>
          <w:rFonts w:ascii="Times New Roman" w:hAnsi="Times New Roman" w:cs="Times New Roman"/>
        </w:rPr>
        <w:t xml:space="preserve">without making any dent in the legacy pollution that </w:t>
      </w:r>
      <w:r w:rsidR="00E40235" w:rsidRPr="00320ADF">
        <w:rPr>
          <w:rFonts w:ascii="Times New Roman" w:hAnsi="Times New Roman" w:cs="Times New Roman"/>
        </w:rPr>
        <w:t>continues destabilize the climate system</w:t>
      </w:r>
      <w:r w:rsidRPr="00320ADF">
        <w:rPr>
          <w:rFonts w:ascii="Times New Roman" w:hAnsi="Times New Roman" w:cs="Times New Roman"/>
        </w:rPr>
        <w:t xml:space="preserve">.  Moreover, offsets </w:t>
      </w:r>
      <w:r w:rsidR="00CA692B" w:rsidRPr="00320ADF">
        <w:rPr>
          <w:rFonts w:ascii="Times New Roman" w:hAnsi="Times New Roman" w:cs="Times New Roman"/>
        </w:rPr>
        <w:t xml:space="preserve">can </w:t>
      </w:r>
      <w:r w:rsidRPr="00320ADF">
        <w:rPr>
          <w:rFonts w:ascii="Times New Roman" w:hAnsi="Times New Roman" w:cs="Times New Roman"/>
        </w:rPr>
        <w:t>monopolize key lands capable of sequestering carbon dioxide</w:t>
      </w:r>
      <w:r w:rsidR="00A1359B" w:rsidRPr="00320ADF">
        <w:rPr>
          <w:rFonts w:ascii="Times New Roman" w:hAnsi="Times New Roman" w:cs="Times New Roman"/>
        </w:rPr>
        <w:t xml:space="preserve">, </w:t>
      </w:r>
      <w:r w:rsidR="00CA692B" w:rsidRPr="00320ADF">
        <w:rPr>
          <w:rFonts w:ascii="Times New Roman" w:hAnsi="Times New Roman" w:cs="Times New Roman"/>
        </w:rPr>
        <w:t>thus</w:t>
      </w:r>
      <w:r w:rsidRPr="00320ADF">
        <w:rPr>
          <w:rFonts w:ascii="Times New Roman" w:hAnsi="Times New Roman" w:cs="Times New Roman"/>
        </w:rPr>
        <w:t xml:space="preserve"> compet</w:t>
      </w:r>
      <w:r w:rsidR="00A1359B" w:rsidRPr="00320ADF">
        <w:rPr>
          <w:rFonts w:ascii="Times New Roman" w:hAnsi="Times New Roman" w:cs="Times New Roman"/>
        </w:rPr>
        <w:t>ing</w:t>
      </w:r>
      <w:r w:rsidRPr="00320ADF">
        <w:rPr>
          <w:rFonts w:ascii="Times New Roman" w:hAnsi="Times New Roman" w:cs="Times New Roman"/>
        </w:rPr>
        <w:t xml:space="preserve"> with the sky cleanup.  </w:t>
      </w:r>
    </w:p>
    <w:p w:rsidR="000A3979" w:rsidRPr="00320ADF" w:rsidRDefault="000A3979" w:rsidP="00E61CA0">
      <w:pPr>
        <w:pStyle w:val="ListParagraph"/>
        <w:numPr>
          <w:ilvl w:val="0"/>
          <w:numId w:val="20"/>
        </w:numPr>
        <w:spacing w:line="276" w:lineRule="auto"/>
        <w:jc w:val="both"/>
        <w:rPr>
          <w:b/>
          <w:bCs/>
        </w:rPr>
      </w:pPr>
      <w:r w:rsidRPr="00320ADF">
        <w:rPr>
          <w:b/>
          <w:bCs/>
        </w:rPr>
        <w:t xml:space="preserve">SCALING AND PROLIFERATING THE SKY CLEANUP EFFORT </w:t>
      </w:r>
      <w:r w:rsidR="00DD4E5A" w:rsidRPr="00320ADF">
        <w:rPr>
          <w:b/>
          <w:bCs/>
        </w:rPr>
        <w:t>THROUGH NATURAL CLIMATE SOLUTIONS</w:t>
      </w:r>
    </w:p>
    <w:p w:rsidR="008B0C15" w:rsidRPr="00320ADF" w:rsidRDefault="008B0C15" w:rsidP="002A4D7B">
      <w:pPr>
        <w:pStyle w:val="ListParagraph"/>
        <w:ind w:left="2160"/>
        <w:jc w:val="both"/>
        <w:rPr>
          <w:b/>
          <w:bCs/>
        </w:rPr>
      </w:pPr>
    </w:p>
    <w:p w:rsidR="000A3979" w:rsidRPr="00320ADF" w:rsidRDefault="00DD4E5A" w:rsidP="0041003E">
      <w:pPr>
        <w:spacing w:line="480" w:lineRule="auto"/>
        <w:ind w:firstLine="720"/>
        <w:jc w:val="both"/>
        <w:rPr>
          <w:rFonts w:ascii="Times New Roman" w:hAnsi="Times New Roman" w:cs="Times New Roman"/>
        </w:rPr>
      </w:pPr>
      <w:r w:rsidRPr="00320ADF">
        <w:rPr>
          <w:rFonts w:ascii="Times New Roman" w:hAnsi="Times New Roman" w:cs="Times New Roman"/>
        </w:rPr>
        <w:t>In 2017, a seminal scientific paper announced the potential to remove vast amounts of</w:t>
      </w:r>
      <w:r w:rsidR="00457AD6">
        <w:rPr>
          <w:rFonts w:ascii="Times New Roman" w:hAnsi="Times New Roman" w:cs="Times New Roman"/>
        </w:rPr>
        <w:t xml:space="preserve"> </w:t>
      </w:r>
      <w:r w:rsidR="007C3F3C" w:rsidRPr="00320ADF">
        <w:rPr>
          <w:w w:val="110"/>
        </w:rPr>
        <w:t>CO</w:t>
      </w:r>
      <w:r w:rsidR="007C3F3C" w:rsidRPr="00410451">
        <w:rPr>
          <w:w w:val="110"/>
          <w:vertAlign w:val="subscript"/>
        </w:rPr>
        <w:t>2</w:t>
      </w:r>
      <w:r w:rsidR="007C3F3C">
        <w:rPr>
          <w:w w:val="110"/>
          <w:vertAlign w:val="subscript"/>
        </w:rPr>
        <w:t xml:space="preserve"> </w:t>
      </w:r>
      <w:r w:rsidRPr="00320ADF">
        <w:rPr>
          <w:rFonts w:ascii="Times New Roman" w:hAnsi="Times New Roman" w:cs="Times New Roman"/>
        </w:rPr>
        <w:t>though Natural Climate Solutions (NCS).</w:t>
      </w:r>
      <w:r w:rsidRPr="00320ADF">
        <w:rPr>
          <w:rStyle w:val="FootnoteReference"/>
          <w:rFonts w:ascii="Times New Roman" w:hAnsi="Times New Roman" w:cs="Times New Roman"/>
        </w:rPr>
        <w:footnoteReference w:id="11"/>
      </w:r>
      <w:r w:rsidRPr="00320ADF">
        <w:rPr>
          <w:rFonts w:ascii="Times New Roman" w:hAnsi="Times New Roman" w:cs="Times New Roman"/>
        </w:rPr>
        <w:t xml:space="preserve">  The scientific community has further refined these into more localized, practical prescriptions.  </w:t>
      </w:r>
      <w:r w:rsidR="001744A3" w:rsidRPr="00320ADF">
        <w:rPr>
          <w:rFonts w:ascii="Times New Roman" w:hAnsi="Times New Roman" w:cs="Times New Roman"/>
        </w:rPr>
        <w:t>A</w:t>
      </w:r>
      <w:r w:rsidR="000A3979" w:rsidRPr="00320ADF">
        <w:rPr>
          <w:rFonts w:ascii="Times New Roman" w:hAnsi="Times New Roman" w:cs="Times New Roman"/>
        </w:rPr>
        <w:t xml:space="preserve"> global atmospheric cleanup </w:t>
      </w:r>
      <w:r w:rsidRPr="00320ADF">
        <w:rPr>
          <w:rFonts w:ascii="Times New Roman" w:hAnsi="Times New Roman" w:cs="Times New Roman"/>
        </w:rPr>
        <w:t>using NCS requires</w:t>
      </w:r>
      <w:r w:rsidR="000A3979" w:rsidRPr="00320ADF">
        <w:rPr>
          <w:rFonts w:ascii="Times New Roman" w:hAnsi="Times New Roman" w:cs="Times New Roman"/>
        </w:rPr>
        <w:t xml:space="preserve"> </w:t>
      </w:r>
      <w:r w:rsidRPr="00320ADF">
        <w:rPr>
          <w:rFonts w:ascii="Times New Roman" w:hAnsi="Times New Roman" w:cs="Times New Roman"/>
        </w:rPr>
        <w:t xml:space="preserve">substantially </w:t>
      </w:r>
      <w:r w:rsidR="000A3979" w:rsidRPr="00320ADF">
        <w:rPr>
          <w:rFonts w:ascii="Times New Roman" w:hAnsi="Times New Roman" w:cs="Times New Roman"/>
        </w:rPr>
        <w:t xml:space="preserve">“scaling up” the present effort, which consists largely of scattered projects providing pilot experience.  </w:t>
      </w:r>
      <w:r w:rsidR="0041003E" w:rsidRPr="00320ADF">
        <w:rPr>
          <w:rFonts w:ascii="Times New Roman" w:hAnsi="Times New Roman" w:cs="Times New Roman"/>
        </w:rPr>
        <w:t xml:space="preserve">Scientists have mapped many areas of the globe to depict carbon sequestration potential, so sovereigns can </w:t>
      </w:r>
      <w:r w:rsidR="000A3979" w:rsidRPr="00320ADF">
        <w:rPr>
          <w:rFonts w:ascii="Times New Roman" w:hAnsi="Times New Roman" w:cs="Times New Roman"/>
        </w:rPr>
        <w:t xml:space="preserve">plan and execute </w:t>
      </w:r>
      <w:r w:rsidR="00063995" w:rsidRPr="00320ADF">
        <w:rPr>
          <w:rFonts w:ascii="Times New Roman" w:hAnsi="Times New Roman" w:cs="Times New Roman"/>
        </w:rPr>
        <w:t>NCS drawdown</w:t>
      </w:r>
      <w:r w:rsidR="000A3979" w:rsidRPr="00320ADF">
        <w:rPr>
          <w:rFonts w:ascii="Times New Roman" w:hAnsi="Times New Roman" w:cs="Times New Roman"/>
        </w:rPr>
        <w:t xml:space="preserve"> programs </w:t>
      </w:r>
      <w:r w:rsidR="00063995" w:rsidRPr="00320ADF">
        <w:rPr>
          <w:rFonts w:ascii="Times New Roman" w:hAnsi="Times New Roman" w:cs="Times New Roman"/>
        </w:rPr>
        <w:t>across</w:t>
      </w:r>
      <w:r w:rsidR="000A3979" w:rsidRPr="00320ADF">
        <w:rPr>
          <w:rFonts w:ascii="Times New Roman" w:hAnsi="Times New Roman" w:cs="Times New Roman"/>
        </w:rPr>
        <w:t xml:space="preserve"> their jurisdictions</w:t>
      </w:r>
      <w:r w:rsidR="00B92669" w:rsidRPr="00320ADF">
        <w:rPr>
          <w:rFonts w:ascii="Times New Roman" w:hAnsi="Times New Roman" w:cs="Times New Roman"/>
        </w:rPr>
        <w:t>.</w:t>
      </w:r>
      <w:r w:rsidR="0041003E" w:rsidRPr="00320ADF">
        <w:rPr>
          <w:rFonts w:ascii="Times New Roman" w:hAnsi="Times New Roman" w:cs="Times New Roman"/>
        </w:rPr>
        <w:t xml:space="preserve"> </w:t>
      </w:r>
      <w:r w:rsidR="00B92669" w:rsidRPr="00320ADF">
        <w:rPr>
          <w:rFonts w:ascii="Times New Roman" w:hAnsi="Times New Roman" w:cs="Times New Roman"/>
        </w:rPr>
        <w:t xml:space="preserve"> </w:t>
      </w:r>
      <w:r w:rsidR="000A3979" w:rsidRPr="00320ADF">
        <w:rPr>
          <w:rFonts w:ascii="Times New Roman" w:hAnsi="Times New Roman" w:cs="Times New Roman"/>
        </w:rPr>
        <w:t xml:space="preserve"> </w:t>
      </w:r>
      <w:r w:rsidR="0041003E" w:rsidRPr="00320ADF">
        <w:rPr>
          <w:rFonts w:ascii="Times New Roman" w:hAnsi="Times New Roman" w:cs="Times New Roman"/>
        </w:rPr>
        <w:t>Successful NRD lawsuits</w:t>
      </w:r>
      <w:r w:rsidR="000A3979" w:rsidRPr="00320ADF">
        <w:rPr>
          <w:rFonts w:ascii="Times New Roman" w:hAnsi="Times New Roman" w:cs="Times New Roman"/>
        </w:rPr>
        <w:t xml:space="preserve"> </w:t>
      </w:r>
      <w:r w:rsidR="0041003E" w:rsidRPr="00320ADF">
        <w:rPr>
          <w:rFonts w:ascii="Times New Roman" w:hAnsi="Times New Roman" w:cs="Times New Roman"/>
        </w:rPr>
        <w:t xml:space="preserve">can </w:t>
      </w:r>
      <w:r w:rsidR="000A3979" w:rsidRPr="00320ADF">
        <w:rPr>
          <w:rFonts w:ascii="Times New Roman" w:hAnsi="Times New Roman" w:cs="Times New Roman"/>
        </w:rPr>
        <w:t xml:space="preserve">unlock that potential </w:t>
      </w:r>
      <w:r w:rsidR="0041003E" w:rsidRPr="00320ADF">
        <w:rPr>
          <w:rFonts w:ascii="Times New Roman" w:hAnsi="Times New Roman" w:cs="Times New Roman"/>
        </w:rPr>
        <w:t>by</w:t>
      </w:r>
      <w:r w:rsidR="000A3979" w:rsidRPr="00320ADF">
        <w:rPr>
          <w:rFonts w:ascii="Times New Roman" w:hAnsi="Times New Roman" w:cs="Times New Roman"/>
        </w:rPr>
        <w:t xml:space="preserve"> fund</w:t>
      </w:r>
      <w:r w:rsidR="0041003E" w:rsidRPr="00320ADF">
        <w:rPr>
          <w:rFonts w:ascii="Times New Roman" w:hAnsi="Times New Roman" w:cs="Times New Roman"/>
        </w:rPr>
        <w:t>ing</w:t>
      </w:r>
      <w:r w:rsidR="000A3979" w:rsidRPr="00320ADF">
        <w:rPr>
          <w:rFonts w:ascii="Times New Roman" w:hAnsi="Times New Roman" w:cs="Times New Roman"/>
        </w:rPr>
        <w:t xml:space="preserve"> broad-scale restoration.  </w:t>
      </w:r>
      <w:r w:rsidR="0041003E" w:rsidRPr="00320ADF">
        <w:rPr>
          <w:rFonts w:ascii="Times New Roman" w:hAnsi="Times New Roman" w:cs="Times New Roman"/>
        </w:rPr>
        <w:t xml:space="preserve"> </w:t>
      </w:r>
    </w:p>
    <w:p w:rsidR="000A3979" w:rsidRPr="00320ADF" w:rsidRDefault="000A3979" w:rsidP="000A5AD2">
      <w:pPr>
        <w:autoSpaceDE w:val="0"/>
        <w:autoSpaceDN w:val="0"/>
        <w:adjustRightInd w:val="0"/>
        <w:spacing w:line="480" w:lineRule="auto"/>
        <w:ind w:firstLine="720"/>
        <w:jc w:val="both"/>
        <w:rPr>
          <w:rFonts w:ascii="Times New Roman" w:hAnsi="Times New Roman" w:cs="Times New Roman"/>
        </w:rPr>
      </w:pPr>
      <w:r w:rsidRPr="00320ADF">
        <w:rPr>
          <w:rFonts w:ascii="Times New Roman" w:hAnsi="Times New Roman" w:cs="Times New Roman"/>
        </w:rPr>
        <w:lastRenderedPageBreak/>
        <w:t xml:space="preserve"> </w:t>
      </w:r>
      <w:r w:rsidR="0047238B" w:rsidRPr="00320ADF">
        <w:rPr>
          <w:rFonts w:ascii="Times New Roman" w:hAnsi="Times New Roman" w:cs="Times New Roman"/>
        </w:rPr>
        <w:t xml:space="preserve">The backdrop to any atmospheric NRD </w:t>
      </w:r>
      <w:r w:rsidR="0099585B" w:rsidRPr="00320ADF">
        <w:rPr>
          <w:rFonts w:ascii="Times New Roman" w:hAnsi="Times New Roman" w:cs="Times New Roman"/>
        </w:rPr>
        <w:t>lawsuit</w:t>
      </w:r>
      <w:r w:rsidR="0047238B" w:rsidRPr="00320ADF">
        <w:rPr>
          <w:rFonts w:ascii="Times New Roman" w:hAnsi="Times New Roman" w:cs="Times New Roman"/>
        </w:rPr>
        <w:t xml:space="preserve"> </w:t>
      </w:r>
      <w:r w:rsidR="000A5AD2" w:rsidRPr="00320ADF">
        <w:rPr>
          <w:rFonts w:ascii="Times New Roman" w:hAnsi="Times New Roman" w:cs="Times New Roman"/>
        </w:rPr>
        <w:t>should be a</w:t>
      </w:r>
      <w:r w:rsidR="0047238B" w:rsidRPr="00320ADF">
        <w:rPr>
          <w:rFonts w:ascii="Times New Roman" w:hAnsi="Times New Roman" w:cs="Times New Roman"/>
        </w:rPr>
        <w:t xml:space="preserve"> </w:t>
      </w:r>
      <w:r w:rsidR="000A5AD2" w:rsidRPr="00320ADF">
        <w:rPr>
          <w:rFonts w:ascii="Times New Roman" w:hAnsi="Times New Roman" w:cs="Times New Roman"/>
        </w:rPr>
        <w:t xml:space="preserve">regional </w:t>
      </w:r>
      <w:r w:rsidR="0047238B" w:rsidRPr="00320ADF">
        <w:rPr>
          <w:rFonts w:ascii="Times New Roman" w:hAnsi="Times New Roman" w:cs="Times New Roman"/>
        </w:rPr>
        <w:t xml:space="preserve">plan </w:t>
      </w:r>
      <w:r w:rsidR="000A5AD2" w:rsidRPr="00320ADF">
        <w:rPr>
          <w:rFonts w:ascii="Times New Roman" w:hAnsi="Times New Roman" w:cs="Times New Roman"/>
        </w:rPr>
        <w:t>setting</w:t>
      </w:r>
      <w:r w:rsidRPr="00320ADF">
        <w:rPr>
          <w:rFonts w:ascii="Times New Roman" w:hAnsi="Times New Roman" w:cs="Times New Roman"/>
        </w:rPr>
        <w:t xml:space="preserve"> forth a </w:t>
      </w:r>
      <w:r w:rsidR="000A5AD2" w:rsidRPr="00320ADF">
        <w:rPr>
          <w:rFonts w:ascii="Times New Roman" w:hAnsi="Times New Roman" w:cs="Times New Roman"/>
        </w:rPr>
        <w:t>framework</w:t>
      </w:r>
      <w:r w:rsidRPr="00320ADF">
        <w:rPr>
          <w:rFonts w:ascii="Times New Roman" w:hAnsi="Times New Roman" w:cs="Times New Roman"/>
        </w:rPr>
        <w:t xml:space="preserve"> from which to organize drawdown projects.  </w:t>
      </w:r>
      <w:r w:rsidR="000A5AD2" w:rsidRPr="00320ADF">
        <w:rPr>
          <w:rFonts w:ascii="Times New Roman" w:hAnsi="Times New Roman" w:cs="Times New Roman"/>
        </w:rPr>
        <w:t xml:space="preserve"> </w:t>
      </w:r>
      <w:r w:rsidR="00121221" w:rsidRPr="00320ADF">
        <w:rPr>
          <w:rFonts w:ascii="Times New Roman" w:hAnsi="Times New Roman" w:cs="Times New Roman"/>
        </w:rPr>
        <w:t>S</w:t>
      </w:r>
      <w:r w:rsidRPr="00320ADF">
        <w:rPr>
          <w:rFonts w:ascii="Times New Roman" w:hAnsi="Times New Roman" w:cs="Times New Roman"/>
        </w:rPr>
        <w:t xml:space="preserve">cientists and professionals </w:t>
      </w:r>
      <w:r w:rsidR="00121221" w:rsidRPr="00320ADF">
        <w:rPr>
          <w:rFonts w:ascii="Times New Roman" w:hAnsi="Times New Roman" w:cs="Times New Roman"/>
        </w:rPr>
        <w:t>are positioned to design a plan that matches</w:t>
      </w:r>
      <w:r w:rsidRPr="00320ADF">
        <w:rPr>
          <w:rFonts w:ascii="Times New Roman" w:hAnsi="Times New Roman" w:cs="Times New Roman"/>
        </w:rPr>
        <w:t xml:space="preserve"> the sequestration </w:t>
      </w:r>
      <w:r w:rsidR="00C812D1" w:rsidRPr="00320ADF">
        <w:rPr>
          <w:rFonts w:ascii="Times New Roman" w:hAnsi="Times New Roman" w:cs="Times New Roman"/>
        </w:rPr>
        <w:t>capacity</w:t>
      </w:r>
      <w:r w:rsidRPr="00320ADF">
        <w:rPr>
          <w:rFonts w:ascii="Times New Roman" w:hAnsi="Times New Roman" w:cs="Times New Roman"/>
        </w:rPr>
        <w:t xml:space="preserve"> of a </w:t>
      </w:r>
      <w:r w:rsidR="00121221" w:rsidRPr="00320ADF">
        <w:rPr>
          <w:rFonts w:ascii="Times New Roman" w:hAnsi="Times New Roman" w:cs="Times New Roman"/>
        </w:rPr>
        <w:t>region</w:t>
      </w:r>
      <w:r w:rsidRPr="00320ADF">
        <w:rPr>
          <w:rFonts w:ascii="Times New Roman" w:hAnsi="Times New Roman" w:cs="Times New Roman"/>
        </w:rPr>
        <w:t xml:space="preserve"> with the resources, needs, and incentives of the local</w:t>
      </w:r>
      <w:r w:rsidR="00567A0E" w:rsidRPr="00320ADF">
        <w:rPr>
          <w:rFonts w:ascii="Times New Roman" w:hAnsi="Times New Roman" w:cs="Times New Roman"/>
        </w:rPr>
        <w:t xml:space="preserve"> communities </w:t>
      </w:r>
      <w:r w:rsidRPr="00320ADF">
        <w:rPr>
          <w:rFonts w:ascii="Times New Roman" w:hAnsi="Times New Roman" w:cs="Times New Roman"/>
        </w:rPr>
        <w:t xml:space="preserve">undertaking restoration.  </w:t>
      </w:r>
      <w:r w:rsidR="000A5AD2" w:rsidRPr="00320ADF">
        <w:rPr>
          <w:rFonts w:ascii="Times New Roman" w:hAnsi="Times New Roman" w:cs="Times New Roman"/>
        </w:rPr>
        <w:t>The plan</w:t>
      </w:r>
      <w:r w:rsidR="00C51D06" w:rsidRPr="00320ADF">
        <w:rPr>
          <w:rFonts w:ascii="Times New Roman" w:hAnsi="Times New Roman" w:cs="Times New Roman"/>
        </w:rPr>
        <w:t xml:space="preserve"> </w:t>
      </w:r>
      <w:r w:rsidR="002E2622">
        <w:rPr>
          <w:rFonts w:ascii="Times New Roman" w:hAnsi="Times New Roman" w:cs="Times New Roman"/>
        </w:rPr>
        <w:t xml:space="preserve">is essential to </w:t>
      </w:r>
      <w:r w:rsidR="00C51D06" w:rsidRPr="00320ADF">
        <w:rPr>
          <w:rFonts w:ascii="Times New Roman" w:hAnsi="Times New Roman" w:cs="Times New Roman"/>
        </w:rPr>
        <w:t xml:space="preserve">bring the </w:t>
      </w:r>
      <w:r w:rsidR="000A5AD2" w:rsidRPr="00320ADF">
        <w:rPr>
          <w:rFonts w:ascii="Times New Roman" w:hAnsi="Times New Roman" w:cs="Times New Roman"/>
        </w:rPr>
        <w:t xml:space="preserve">sky cleanup </w:t>
      </w:r>
      <w:r w:rsidR="00C51D06" w:rsidRPr="00320ADF">
        <w:rPr>
          <w:rFonts w:ascii="Times New Roman" w:hAnsi="Times New Roman" w:cs="Times New Roman"/>
        </w:rPr>
        <w:t>effort to a tangible level that courts will understand</w:t>
      </w:r>
      <w:r w:rsidR="000A5AD2" w:rsidRPr="00320ADF">
        <w:rPr>
          <w:rFonts w:ascii="Times New Roman" w:hAnsi="Times New Roman" w:cs="Times New Roman"/>
        </w:rPr>
        <w:t xml:space="preserve">.  </w:t>
      </w:r>
      <w:r w:rsidR="00121221" w:rsidRPr="00320ADF">
        <w:rPr>
          <w:rFonts w:ascii="Times New Roman" w:hAnsi="Times New Roman" w:cs="Times New Roman"/>
        </w:rPr>
        <w:t xml:space="preserve"> </w:t>
      </w:r>
      <w:r w:rsidR="002E2622">
        <w:rPr>
          <w:rFonts w:ascii="Times New Roman" w:hAnsi="Times New Roman" w:cs="Times New Roman"/>
        </w:rPr>
        <w:t>It</w:t>
      </w:r>
      <w:r w:rsidR="00C51D06" w:rsidRPr="00320ADF">
        <w:rPr>
          <w:rFonts w:ascii="Times New Roman" w:hAnsi="Times New Roman" w:cs="Times New Roman"/>
        </w:rPr>
        <w:t xml:space="preserve"> must clearly explain </w:t>
      </w:r>
      <w:r w:rsidR="00121221" w:rsidRPr="00320ADF">
        <w:rPr>
          <w:rFonts w:ascii="Times New Roman" w:hAnsi="Times New Roman" w:cs="Times New Roman"/>
        </w:rPr>
        <w:t xml:space="preserve">the </w:t>
      </w:r>
      <w:r w:rsidR="00C51D06" w:rsidRPr="00320ADF">
        <w:rPr>
          <w:rFonts w:ascii="Times New Roman" w:hAnsi="Times New Roman" w:cs="Times New Roman"/>
        </w:rPr>
        <w:t>Earth’s carbon cycle</w:t>
      </w:r>
      <w:r w:rsidR="00205294" w:rsidRPr="00320ADF">
        <w:rPr>
          <w:rFonts w:ascii="Times New Roman" w:hAnsi="Times New Roman" w:cs="Times New Roman"/>
        </w:rPr>
        <w:t xml:space="preserve">, identify the “engines” of sky cleanup as land-based methods, </w:t>
      </w:r>
      <w:r w:rsidR="00C51D06" w:rsidRPr="00320ADF">
        <w:rPr>
          <w:rFonts w:ascii="Times New Roman" w:hAnsi="Times New Roman" w:cs="Times New Roman"/>
        </w:rPr>
        <w:t>and delineate the restoration potential of the particular sovereign(s) suing for natural resource damages</w:t>
      </w:r>
      <w:r w:rsidR="000A5AD2" w:rsidRPr="00320ADF">
        <w:rPr>
          <w:rFonts w:ascii="Times New Roman" w:hAnsi="Times New Roman" w:cs="Times New Roman"/>
        </w:rPr>
        <w:t xml:space="preserve">. </w:t>
      </w:r>
    </w:p>
    <w:p w:rsidR="00622706" w:rsidRDefault="00024CA5" w:rsidP="008756A1">
      <w:pPr>
        <w:pStyle w:val="ListParagraph"/>
        <w:numPr>
          <w:ilvl w:val="0"/>
          <w:numId w:val="3"/>
        </w:numPr>
        <w:spacing w:line="276" w:lineRule="auto"/>
        <w:jc w:val="both"/>
        <w:rPr>
          <w:b/>
          <w:bCs/>
        </w:rPr>
      </w:pPr>
      <w:r w:rsidRPr="00320ADF">
        <w:rPr>
          <w:b/>
          <w:bCs/>
        </w:rPr>
        <w:t>ANALOGOUS</w:t>
      </w:r>
      <w:r w:rsidR="00622706" w:rsidRPr="00320ADF">
        <w:rPr>
          <w:b/>
          <w:bCs/>
        </w:rPr>
        <w:t xml:space="preserve"> LITIGATION HOLDING CORPORATIONS LIABLE FOR POLLUTION</w:t>
      </w:r>
    </w:p>
    <w:p w:rsidR="008756A1" w:rsidRPr="00320ADF" w:rsidRDefault="008756A1" w:rsidP="008756A1">
      <w:pPr>
        <w:pStyle w:val="ListParagraph"/>
        <w:spacing w:line="276" w:lineRule="auto"/>
        <w:ind w:left="1080"/>
        <w:jc w:val="both"/>
        <w:rPr>
          <w:b/>
          <w:bCs/>
        </w:rPr>
      </w:pPr>
    </w:p>
    <w:p w:rsidR="00584558" w:rsidRPr="00320ADF" w:rsidRDefault="000648A2" w:rsidP="00D37465">
      <w:pPr>
        <w:spacing w:line="480" w:lineRule="auto"/>
        <w:ind w:firstLine="720"/>
        <w:jc w:val="both"/>
        <w:rPr>
          <w:rFonts w:ascii="Times New Roman" w:eastAsia="Times New Roman" w:hAnsi="Times New Roman" w:cs="Times New Roman"/>
        </w:rPr>
      </w:pPr>
      <w:r w:rsidRPr="00320ADF">
        <w:rPr>
          <w:rFonts w:ascii="Times New Roman" w:eastAsia="Times New Roman" w:hAnsi="Times New Roman" w:cs="Times New Roman"/>
        </w:rPr>
        <w:t>N</w:t>
      </w:r>
      <w:r w:rsidR="0025296C" w:rsidRPr="00320ADF">
        <w:rPr>
          <w:rFonts w:ascii="Times New Roman" w:eastAsia="Times New Roman" w:hAnsi="Times New Roman" w:cs="Times New Roman"/>
        </w:rPr>
        <w:t xml:space="preserve">atural resource damage actions (not involving climate harm) are characteristically brought pursuant to </w:t>
      </w:r>
      <w:r w:rsidR="00567A0E" w:rsidRPr="00320ADF">
        <w:rPr>
          <w:rFonts w:ascii="Times New Roman" w:eastAsia="Times New Roman" w:hAnsi="Times New Roman" w:cs="Times New Roman"/>
        </w:rPr>
        <w:t>statutes</w:t>
      </w:r>
      <w:r w:rsidR="0025296C" w:rsidRPr="00320ADF">
        <w:rPr>
          <w:rFonts w:ascii="Times New Roman" w:eastAsia="Times New Roman" w:hAnsi="Times New Roman" w:cs="Times New Roman"/>
        </w:rPr>
        <w:t xml:space="preserve"> </w:t>
      </w:r>
      <w:r w:rsidR="00567A0E" w:rsidRPr="00320ADF">
        <w:rPr>
          <w:rFonts w:ascii="Times New Roman" w:eastAsia="Times New Roman" w:hAnsi="Times New Roman" w:cs="Times New Roman"/>
        </w:rPr>
        <w:t>expressly</w:t>
      </w:r>
      <w:r w:rsidR="0025296C" w:rsidRPr="00320ADF">
        <w:rPr>
          <w:rFonts w:ascii="Times New Roman" w:eastAsia="Times New Roman" w:hAnsi="Times New Roman" w:cs="Times New Roman"/>
        </w:rPr>
        <w:t xml:space="preserve"> allow</w:t>
      </w:r>
      <w:r w:rsidR="00567A0E" w:rsidRPr="00320ADF">
        <w:rPr>
          <w:rFonts w:ascii="Times New Roman" w:eastAsia="Times New Roman" w:hAnsi="Times New Roman" w:cs="Times New Roman"/>
        </w:rPr>
        <w:t>ing</w:t>
      </w:r>
      <w:r w:rsidR="0025296C" w:rsidRPr="00320ADF">
        <w:rPr>
          <w:rFonts w:ascii="Times New Roman" w:eastAsia="Times New Roman" w:hAnsi="Times New Roman" w:cs="Times New Roman"/>
        </w:rPr>
        <w:t xml:space="preserve"> recovery of restoration costs resulting from the release of “hazardous substances” </w:t>
      </w:r>
      <w:r w:rsidRPr="00320ADF">
        <w:rPr>
          <w:rFonts w:ascii="Times New Roman" w:eastAsia="Times New Roman" w:hAnsi="Times New Roman" w:cs="Times New Roman"/>
        </w:rPr>
        <w:t xml:space="preserve">to the environment, </w:t>
      </w:r>
      <w:r w:rsidR="0025296C" w:rsidRPr="00320ADF">
        <w:rPr>
          <w:rFonts w:ascii="Times New Roman" w:eastAsia="Times New Roman" w:hAnsi="Times New Roman" w:cs="Times New Roman"/>
        </w:rPr>
        <w:t xml:space="preserve">or oil releases </w:t>
      </w:r>
      <w:r w:rsidRPr="00320ADF">
        <w:rPr>
          <w:rFonts w:ascii="Times New Roman" w:eastAsia="Times New Roman" w:hAnsi="Times New Roman" w:cs="Times New Roman"/>
        </w:rPr>
        <w:t>in</w:t>
      </w:r>
      <w:r w:rsidR="0025296C" w:rsidRPr="00320ADF">
        <w:rPr>
          <w:rFonts w:ascii="Times New Roman" w:eastAsia="Times New Roman" w:hAnsi="Times New Roman" w:cs="Times New Roman"/>
        </w:rPr>
        <w:t xml:space="preserve">to waterways.   </w:t>
      </w:r>
      <w:r w:rsidR="00567A0E" w:rsidRPr="00320ADF">
        <w:rPr>
          <w:rFonts w:ascii="Times New Roman" w:eastAsia="Times New Roman" w:hAnsi="Times New Roman" w:cs="Times New Roman"/>
        </w:rPr>
        <w:t>Because</w:t>
      </w:r>
      <w:r w:rsidR="0025296C" w:rsidRPr="00320ADF">
        <w:rPr>
          <w:rFonts w:ascii="Times New Roman" w:eastAsia="Times New Roman" w:hAnsi="Times New Roman" w:cs="Times New Roman"/>
        </w:rPr>
        <w:t xml:space="preserve"> there is </w:t>
      </w:r>
      <w:r w:rsidR="00207D6B">
        <w:rPr>
          <w:rFonts w:ascii="Times New Roman" w:eastAsia="Times New Roman" w:hAnsi="Times New Roman" w:cs="Times New Roman"/>
        </w:rPr>
        <w:t xml:space="preserve">yet </w:t>
      </w:r>
      <w:r w:rsidR="0025296C" w:rsidRPr="00320ADF">
        <w:rPr>
          <w:rFonts w:ascii="Times New Roman" w:eastAsia="Times New Roman" w:hAnsi="Times New Roman" w:cs="Times New Roman"/>
        </w:rPr>
        <w:t>no federal law expressly providing atmospheric NRDs for damage from fossil fuel pollution</w:t>
      </w:r>
      <w:r w:rsidR="00567A0E" w:rsidRPr="00320ADF">
        <w:rPr>
          <w:rFonts w:ascii="Times New Roman" w:eastAsia="Times New Roman" w:hAnsi="Times New Roman" w:cs="Times New Roman"/>
        </w:rPr>
        <w:t>,</w:t>
      </w:r>
      <w:r w:rsidR="0025296C" w:rsidRPr="00320ADF">
        <w:rPr>
          <w:rFonts w:ascii="Times New Roman" w:eastAsia="Times New Roman" w:hAnsi="Times New Roman" w:cs="Times New Roman"/>
        </w:rPr>
        <w:t xml:space="preserve"> </w:t>
      </w:r>
      <w:r w:rsidR="00567A0E" w:rsidRPr="00320ADF">
        <w:rPr>
          <w:rFonts w:ascii="Times New Roman" w:eastAsia="Times New Roman" w:hAnsi="Times New Roman" w:cs="Times New Roman"/>
        </w:rPr>
        <w:t>t</w:t>
      </w:r>
      <w:r w:rsidR="003F4A4B" w:rsidRPr="00320ADF">
        <w:rPr>
          <w:rFonts w:ascii="Times New Roman" w:eastAsia="Times New Roman" w:hAnsi="Times New Roman" w:cs="Times New Roman"/>
        </w:rPr>
        <w:t xml:space="preserve">he </w:t>
      </w:r>
      <w:r w:rsidR="007107BC" w:rsidRPr="00320ADF">
        <w:rPr>
          <w:rFonts w:ascii="Times New Roman" w:eastAsia="Times New Roman" w:hAnsi="Times New Roman" w:cs="Times New Roman"/>
        </w:rPr>
        <w:t>Atmospheric Recovery Litigation</w:t>
      </w:r>
      <w:r w:rsidR="00DC7DF0" w:rsidRPr="00320ADF">
        <w:rPr>
          <w:rFonts w:ascii="Times New Roman" w:eastAsia="Times New Roman" w:hAnsi="Times New Roman" w:cs="Times New Roman"/>
        </w:rPr>
        <w:t xml:space="preserve"> approach</w:t>
      </w:r>
      <w:r w:rsidR="00567A0E" w:rsidRPr="00320ADF">
        <w:rPr>
          <w:rFonts w:ascii="Times New Roman" w:eastAsia="Times New Roman" w:hAnsi="Times New Roman" w:cs="Times New Roman"/>
        </w:rPr>
        <w:t xml:space="preserve"> </w:t>
      </w:r>
      <w:r w:rsidR="0025296C" w:rsidRPr="00320ADF">
        <w:rPr>
          <w:rFonts w:ascii="Times New Roman" w:eastAsia="Times New Roman" w:hAnsi="Times New Roman" w:cs="Times New Roman"/>
        </w:rPr>
        <w:t>must</w:t>
      </w:r>
      <w:r w:rsidR="00DC7DF0" w:rsidRPr="00320ADF">
        <w:rPr>
          <w:rFonts w:ascii="Times New Roman" w:eastAsia="Times New Roman" w:hAnsi="Times New Roman" w:cs="Times New Roman"/>
        </w:rPr>
        <w:t xml:space="preserve"> </w:t>
      </w:r>
      <w:r w:rsidR="00117282" w:rsidRPr="00320ADF">
        <w:rPr>
          <w:rFonts w:ascii="Times New Roman" w:eastAsia="Times New Roman" w:hAnsi="Times New Roman" w:cs="Times New Roman"/>
        </w:rPr>
        <w:t xml:space="preserve">assemble </w:t>
      </w:r>
      <w:r w:rsidR="005C4FA2" w:rsidRPr="00320ADF">
        <w:rPr>
          <w:rFonts w:ascii="Times New Roman" w:eastAsia="Times New Roman" w:hAnsi="Times New Roman" w:cs="Times New Roman"/>
        </w:rPr>
        <w:t xml:space="preserve">common law </w:t>
      </w:r>
      <w:r w:rsidR="0025296C" w:rsidRPr="00320ADF">
        <w:rPr>
          <w:rFonts w:ascii="Times New Roman" w:eastAsia="Times New Roman" w:hAnsi="Times New Roman" w:cs="Times New Roman"/>
        </w:rPr>
        <w:t>principles</w:t>
      </w:r>
      <w:r w:rsidR="00647A93" w:rsidRPr="00320ADF">
        <w:rPr>
          <w:rFonts w:ascii="Times New Roman" w:eastAsia="Times New Roman" w:hAnsi="Times New Roman" w:cs="Times New Roman"/>
        </w:rPr>
        <w:t xml:space="preserve"> (or general statut</w:t>
      </w:r>
      <w:r w:rsidR="00567A0E" w:rsidRPr="00320ADF">
        <w:rPr>
          <w:rFonts w:ascii="Times New Roman" w:eastAsia="Times New Roman" w:hAnsi="Times New Roman" w:cs="Times New Roman"/>
        </w:rPr>
        <w:t xml:space="preserve">ory provisions) </w:t>
      </w:r>
      <w:r w:rsidR="0025296C" w:rsidRPr="00320ADF">
        <w:rPr>
          <w:rFonts w:ascii="Times New Roman" w:eastAsia="Times New Roman" w:hAnsi="Times New Roman" w:cs="Times New Roman"/>
        </w:rPr>
        <w:t xml:space="preserve">to create a </w:t>
      </w:r>
      <w:r w:rsidR="00567A0E" w:rsidRPr="00320ADF">
        <w:rPr>
          <w:rFonts w:ascii="Times New Roman" w:eastAsia="Times New Roman" w:hAnsi="Times New Roman" w:cs="Times New Roman"/>
        </w:rPr>
        <w:t xml:space="preserve">liability </w:t>
      </w:r>
      <w:r w:rsidR="0025296C" w:rsidRPr="00320ADF">
        <w:rPr>
          <w:rFonts w:ascii="Times New Roman" w:eastAsia="Times New Roman" w:hAnsi="Times New Roman" w:cs="Times New Roman"/>
        </w:rPr>
        <w:t xml:space="preserve">framework.  </w:t>
      </w:r>
      <w:r w:rsidR="00D37465" w:rsidRPr="00320ADF">
        <w:rPr>
          <w:rFonts w:ascii="Times New Roman" w:eastAsia="Times New Roman" w:hAnsi="Times New Roman" w:cs="Times New Roman"/>
        </w:rPr>
        <w:t xml:space="preserve"> Th</w:t>
      </w:r>
      <w:r w:rsidRPr="00320ADF">
        <w:rPr>
          <w:rFonts w:ascii="Times New Roman" w:eastAsia="Times New Roman" w:hAnsi="Times New Roman" w:cs="Times New Roman"/>
        </w:rPr>
        <w:t>is chapter suggests the</w:t>
      </w:r>
      <w:r w:rsidR="00D37465" w:rsidRPr="00320ADF">
        <w:rPr>
          <w:rFonts w:ascii="Times New Roman" w:eastAsia="Times New Roman" w:hAnsi="Times New Roman" w:cs="Times New Roman"/>
        </w:rPr>
        <w:t xml:space="preserve"> public trust </w:t>
      </w:r>
      <w:r w:rsidRPr="00320ADF">
        <w:rPr>
          <w:rFonts w:ascii="Times New Roman" w:eastAsia="Times New Roman" w:hAnsi="Times New Roman" w:cs="Times New Roman"/>
        </w:rPr>
        <w:t>as a basis for</w:t>
      </w:r>
      <w:r w:rsidR="00D37465" w:rsidRPr="00320ADF">
        <w:rPr>
          <w:rFonts w:ascii="Times New Roman" w:eastAsia="Times New Roman" w:hAnsi="Times New Roman" w:cs="Times New Roman"/>
        </w:rPr>
        <w:t xml:space="preserve"> </w:t>
      </w:r>
      <w:r w:rsidR="000041EB" w:rsidRPr="00320ADF">
        <w:rPr>
          <w:rFonts w:ascii="Times New Roman" w:eastAsia="Times New Roman" w:hAnsi="Times New Roman" w:cs="Times New Roman"/>
        </w:rPr>
        <w:t xml:space="preserve">NRD claims </w:t>
      </w:r>
      <w:r w:rsidR="00D37465" w:rsidRPr="00320ADF">
        <w:rPr>
          <w:rFonts w:ascii="Times New Roman" w:eastAsia="Times New Roman" w:hAnsi="Times New Roman" w:cs="Times New Roman"/>
        </w:rPr>
        <w:t xml:space="preserve">immediately available to government trustees. </w:t>
      </w:r>
      <w:r w:rsidRPr="00320ADF">
        <w:rPr>
          <w:rFonts w:ascii="Times New Roman" w:eastAsia="Times New Roman" w:hAnsi="Times New Roman" w:cs="Times New Roman"/>
        </w:rPr>
        <w:t xml:space="preserve"> In constructing a liability </w:t>
      </w:r>
      <w:r w:rsidR="00D37465" w:rsidRPr="00320ADF">
        <w:rPr>
          <w:rFonts w:ascii="Times New Roman" w:eastAsia="Times New Roman" w:hAnsi="Times New Roman" w:cs="Times New Roman"/>
        </w:rPr>
        <w:t>framework</w:t>
      </w:r>
      <w:r w:rsidRPr="00320ADF">
        <w:rPr>
          <w:rFonts w:ascii="Times New Roman" w:eastAsia="Times New Roman" w:hAnsi="Times New Roman" w:cs="Times New Roman"/>
        </w:rPr>
        <w:t>, it will be useful to</w:t>
      </w:r>
      <w:r w:rsidR="0025296C" w:rsidRPr="00320ADF">
        <w:rPr>
          <w:rFonts w:ascii="Times New Roman" w:eastAsia="Times New Roman" w:hAnsi="Times New Roman" w:cs="Times New Roman"/>
        </w:rPr>
        <w:t xml:space="preserve"> draw principles from three analogous areas of litigation in which sovereign or municipal plaintiffs have sued major producers or emitters</w:t>
      </w:r>
      <w:r w:rsidRPr="00320ADF">
        <w:rPr>
          <w:rFonts w:ascii="Times New Roman" w:eastAsia="Times New Roman" w:hAnsi="Times New Roman" w:cs="Times New Roman"/>
        </w:rPr>
        <w:t xml:space="preserve"> under primarily common law</w:t>
      </w:r>
      <w:r w:rsidR="0025296C" w:rsidRPr="00320ADF">
        <w:rPr>
          <w:rFonts w:ascii="Times New Roman" w:eastAsia="Times New Roman" w:hAnsi="Times New Roman" w:cs="Times New Roman"/>
        </w:rPr>
        <w:t xml:space="preserve"> for </w:t>
      </w:r>
      <w:r w:rsidR="002E39B3">
        <w:rPr>
          <w:rFonts w:ascii="Times New Roman" w:eastAsia="Times New Roman" w:hAnsi="Times New Roman" w:cs="Times New Roman"/>
        </w:rPr>
        <w:t xml:space="preserve">environmental </w:t>
      </w:r>
      <w:r w:rsidR="0025296C" w:rsidRPr="00320ADF">
        <w:rPr>
          <w:rFonts w:ascii="Times New Roman" w:eastAsia="Times New Roman" w:hAnsi="Times New Roman" w:cs="Times New Roman"/>
        </w:rPr>
        <w:t>damage.</w:t>
      </w:r>
      <w:r w:rsidR="00760E2C">
        <w:rPr>
          <w:rStyle w:val="FootnoteReference"/>
          <w:rFonts w:ascii="Times New Roman" w:eastAsia="Times New Roman" w:hAnsi="Times New Roman" w:cs="Times New Roman"/>
        </w:rPr>
        <w:footnoteReference w:id="12"/>
      </w:r>
      <w:r w:rsidR="00760E2C" w:rsidRPr="00320ADF">
        <w:rPr>
          <w:rFonts w:ascii="Times New Roman" w:eastAsia="Times New Roman" w:hAnsi="Times New Roman" w:cs="Times New Roman"/>
        </w:rPr>
        <w:t xml:space="preserve"> </w:t>
      </w:r>
      <w:r w:rsidR="0025296C" w:rsidRPr="00320ADF">
        <w:rPr>
          <w:rFonts w:ascii="Times New Roman" w:eastAsia="Times New Roman" w:hAnsi="Times New Roman" w:cs="Times New Roman"/>
        </w:rPr>
        <w:t xml:space="preserve">  </w:t>
      </w:r>
      <w:r w:rsidR="00D37465" w:rsidRPr="00320ADF">
        <w:rPr>
          <w:rFonts w:ascii="Times New Roman" w:eastAsia="Times New Roman" w:hAnsi="Times New Roman" w:cs="Times New Roman"/>
        </w:rPr>
        <w:t>The cases</w:t>
      </w:r>
      <w:r w:rsidRPr="00320ADF">
        <w:rPr>
          <w:rFonts w:ascii="Times New Roman" w:eastAsia="Times New Roman" w:hAnsi="Times New Roman" w:cs="Times New Roman"/>
        </w:rPr>
        <w:t xml:space="preserve">, </w:t>
      </w:r>
      <w:r w:rsidR="00D37465" w:rsidRPr="00320ADF">
        <w:rPr>
          <w:rFonts w:ascii="Times New Roman" w:eastAsia="Times New Roman" w:hAnsi="Times New Roman" w:cs="Times New Roman"/>
        </w:rPr>
        <w:t>a</w:t>
      </w:r>
      <w:r w:rsidR="0025296C" w:rsidRPr="00320ADF">
        <w:rPr>
          <w:rFonts w:ascii="Times New Roman" w:eastAsia="Times New Roman" w:hAnsi="Times New Roman" w:cs="Times New Roman"/>
        </w:rPr>
        <w:t>dvancing in both federal and state courts</w:t>
      </w:r>
      <w:r w:rsidRPr="00320ADF">
        <w:rPr>
          <w:rFonts w:ascii="Times New Roman" w:eastAsia="Times New Roman" w:hAnsi="Times New Roman" w:cs="Times New Roman"/>
        </w:rPr>
        <w:t xml:space="preserve">, </w:t>
      </w:r>
      <w:r w:rsidR="00117282" w:rsidRPr="00320ADF">
        <w:rPr>
          <w:rFonts w:ascii="Times New Roman" w:eastAsia="Times New Roman" w:hAnsi="Times New Roman" w:cs="Times New Roman"/>
        </w:rPr>
        <w:lastRenderedPageBreak/>
        <w:t>reveal</w:t>
      </w:r>
      <w:r w:rsidRPr="00320ADF">
        <w:rPr>
          <w:rFonts w:ascii="Times New Roman" w:eastAsia="Times New Roman" w:hAnsi="Times New Roman" w:cs="Times New Roman"/>
        </w:rPr>
        <w:t xml:space="preserve"> both opportunities and pitfalls for atmospheric NRD litigation</w:t>
      </w:r>
      <w:r w:rsidR="00D37465" w:rsidRPr="00320ADF">
        <w:rPr>
          <w:rFonts w:ascii="Times New Roman" w:eastAsia="Times New Roman" w:hAnsi="Times New Roman" w:cs="Times New Roman"/>
        </w:rPr>
        <w:t>.</w:t>
      </w:r>
      <w:r w:rsidRPr="00320ADF">
        <w:rPr>
          <w:rFonts w:ascii="Times New Roman" w:eastAsia="Times New Roman" w:hAnsi="Times New Roman" w:cs="Times New Roman"/>
        </w:rPr>
        <w:t xml:space="preserve">  </w:t>
      </w:r>
      <w:r w:rsidR="007C1E54" w:rsidRPr="00320ADF">
        <w:rPr>
          <w:rFonts w:ascii="Times New Roman" w:eastAsia="Times New Roman" w:hAnsi="Times New Roman" w:cs="Times New Roman"/>
        </w:rPr>
        <w:t>S</w:t>
      </w:r>
      <w:r w:rsidRPr="00320ADF">
        <w:rPr>
          <w:rFonts w:ascii="Times New Roman" w:eastAsia="Times New Roman" w:hAnsi="Times New Roman" w:cs="Times New Roman"/>
        </w:rPr>
        <w:t>ummarized</w:t>
      </w:r>
      <w:r w:rsidR="007C1E54" w:rsidRPr="00320ADF">
        <w:rPr>
          <w:rFonts w:ascii="Times New Roman" w:eastAsia="Times New Roman" w:hAnsi="Times New Roman" w:cs="Times New Roman"/>
        </w:rPr>
        <w:t xml:space="preserve"> briefly</w:t>
      </w:r>
      <w:r w:rsidRPr="00320ADF">
        <w:rPr>
          <w:rFonts w:ascii="Times New Roman" w:eastAsia="Times New Roman" w:hAnsi="Times New Roman" w:cs="Times New Roman"/>
        </w:rPr>
        <w:t xml:space="preserve"> here, </w:t>
      </w:r>
      <w:r w:rsidR="00117282" w:rsidRPr="00320ADF">
        <w:rPr>
          <w:rFonts w:ascii="Times New Roman" w:eastAsia="Times New Roman" w:hAnsi="Times New Roman" w:cs="Times New Roman"/>
        </w:rPr>
        <w:t>their principles are</w:t>
      </w:r>
      <w:r w:rsidRPr="00320ADF">
        <w:rPr>
          <w:rFonts w:ascii="Times New Roman" w:eastAsia="Times New Roman" w:hAnsi="Times New Roman" w:cs="Times New Roman"/>
        </w:rPr>
        <w:t xml:space="preserve"> discussed in more detail below.</w:t>
      </w:r>
    </w:p>
    <w:p w:rsidR="001679C2" w:rsidRPr="00320ADF" w:rsidRDefault="00584558" w:rsidP="00D44255">
      <w:pPr>
        <w:pStyle w:val="ListParagraph"/>
        <w:numPr>
          <w:ilvl w:val="0"/>
          <w:numId w:val="31"/>
        </w:numPr>
        <w:spacing w:line="480" w:lineRule="auto"/>
        <w:jc w:val="both"/>
        <w:rPr>
          <w:rFonts w:eastAsia="Times New Roman"/>
        </w:rPr>
      </w:pPr>
      <w:r w:rsidRPr="00320ADF">
        <w:rPr>
          <w:rFonts w:eastAsia="Times New Roman"/>
        </w:rPr>
        <w:t xml:space="preserve"> </w:t>
      </w:r>
      <w:r w:rsidR="00BE7F5F" w:rsidRPr="00320ADF">
        <w:rPr>
          <w:rFonts w:eastAsia="Times New Roman"/>
          <w:b/>
          <w:bCs/>
        </w:rPr>
        <w:t>THE MT</w:t>
      </w:r>
      <w:r w:rsidR="00760E2C">
        <w:rPr>
          <w:rFonts w:eastAsia="Times New Roman"/>
          <w:b/>
          <w:bCs/>
        </w:rPr>
        <w:t>B</w:t>
      </w:r>
      <w:r w:rsidR="00BE7F5F" w:rsidRPr="00320ADF">
        <w:rPr>
          <w:rFonts w:eastAsia="Times New Roman"/>
          <w:b/>
          <w:bCs/>
        </w:rPr>
        <w:t>E LAWSUITS</w:t>
      </w:r>
      <w:r w:rsidR="00BE7F5F" w:rsidRPr="00320ADF">
        <w:rPr>
          <w:rFonts w:eastAsia="Times New Roman"/>
        </w:rPr>
        <w:t xml:space="preserve"> </w:t>
      </w:r>
    </w:p>
    <w:p w:rsidR="001F1F50" w:rsidRPr="00320ADF" w:rsidRDefault="001F1F50" w:rsidP="00527B69">
      <w:pPr>
        <w:spacing w:line="480" w:lineRule="auto"/>
        <w:ind w:firstLine="720"/>
        <w:jc w:val="both"/>
        <w:rPr>
          <w:rFonts w:ascii="Times New Roman" w:eastAsia="Times New Roman" w:hAnsi="Times New Roman" w:cs="Times New Roman"/>
        </w:rPr>
      </w:pPr>
      <w:r w:rsidRPr="00320ADF">
        <w:rPr>
          <w:rFonts w:ascii="Times New Roman" w:eastAsia="Times New Roman" w:hAnsi="Times New Roman" w:cs="Times New Roman"/>
        </w:rPr>
        <w:t>One</w:t>
      </w:r>
      <w:r w:rsidR="00C81E7D" w:rsidRPr="00320ADF">
        <w:rPr>
          <w:rFonts w:ascii="Times New Roman" w:eastAsia="Times New Roman" w:hAnsi="Times New Roman" w:cs="Times New Roman"/>
        </w:rPr>
        <w:t xml:space="preserve"> category of cases involve</w:t>
      </w:r>
      <w:r w:rsidRPr="00320ADF">
        <w:rPr>
          <w:rFonts w:ascii="Times New Roman" w:eastAsia="Times New Roman" w:hAnsi="Times New Roman" w:cs="Times New Roman"/>
        </w:rPr>
        <w:t>s</w:t>
      </w:r>
      <w:r w:rsidR="00C81E7D" w:rsidRPr="00320ADF">
        <w:rPr>
          <w:rFonts w:ascii="Times New Roman" w:eastAsia="Times New Roman" w:hAnsi="Times New Roman" w:cs="Times New Roman"/>
        </w:rPr>
        <w:t xml:space="preserve"> suits by municipal and state governments against major gasoline producers for groundwater contamination resulting from </w:t>
      </w:r>
      <w:r w:rsidRPr="00320ADF">
        <w:rPr>
          <w:rFonts w:ascii="Times New Roman" w:eastAsia="Times New Roman" w:hAnsi="Times New Roman" w:cs="Times New Roman"/>
        </w:rPr>
        <w:t xml:space="preserve">the chemical </w:t>
      </w:r>
      <w:r w:rsidR="004054C7" w:rsidRPr="00320ADF">
        <w:rPr>
          <w:rFonts w:ascii="Times New Roman" w:eastAsia="Times New Roman" w:hAnsi="Times New Roman" w:cs="Times New Roman"/>
        </w:rPr>
        <w:t xml:space="preserve">MTBE, </w:t>
      </w:r>
      <w:r w:rsidR="00E50669" w:rsidRPr="00320ADF">
        <w:rPr>
          <w:rFonts w:ascii="Times New Roman" w:eastAsia="Times New Roman" w:hAnsi="Times New Roman" w:cs="Times New Roman"/>
        </w:rPr>
        <w:t xml:space="preserve">used as an additive by petroleum companies </w:t>
      </w:r>
      <w:r w:rsidR="004054C7" w:rsidRPr="00320ADF">
        <w:rPr>
          <w:rFonts w:ascii="Times New Roman" w:eastAsia="Times New Roman" w:hAnsi="Times New Roman" w:cs="Times New Roman"/>
        </w:rPr>
        <w:t xml:space="preserve">decades ago </w:t>
      </w:r>
      <w:r w:rsidR="00E50669" w:rsidRPr="00320ADF">
        <w:rPr>
          <w:rFonts w:ascii="Times New Roman" w:eastAsia="Times New Roman" w:hAnsi="Times New Roman" w:cs="Times New Roman"/>
        </w:rPr>
        <w:t>to reduce octane level</w:t>
      </w:r>
      <w:r w:rsidR="00E96CBB">
        <w:rPr>
          <w:rFonts w:ascii="Times New Roman" w:eastAsia="Times New Roman" w:hAnsi="Times New Roman" w:cs="Times New Roman"/>
        </w:rPr>
        <w:t>s</w:t>
      </w:r>
      <w:r w:rsidR="00E50669" w:rsidRPr="00320ADF">
        <w:rPr>
          <w:rFonts w:ascii="Times New Roman" w:eastAsia="Times New Roman" w:hAnsi="Times New Roman" w:cs="Times New Roman"/>
        </w:rPr>
        <w:t xml:space="preserve"> in gasoline.</w:t>
      </w:r>
      <w:r w:rsidRPr="00320ADF">
        <w:rPr>
          <w:rFonts w:ascii="Times New Roman" w:eastAsia="Times New Roman" w:hAnsi="Times New Roman" w:cs="Times New Roman"/>
        </w:rPr>
        <w:t xml:space="preserve"> </w:t>
      </w:r>
      <w:r w:rsidR="00E50669" w:rsidRPr="00320ADF">
        <w:rPr>
          <w:rFonts w:ascii="Times New Roman" w:eastAsia="Times New Roman" w:hAnsi="Times New Roman" w:cs="Times New Roman"/>
        </w:rPr>
        <w:t xml:space="preserve"> Due to its chemical properties, spilled MTBE spreads easily into groundwater supplies.</w:t>
      </w:r>
      <w:r w:rsidRPr="00320ADF">
        <w:rPr>
          <w:rFonts w:ascii="Times New Roman" w:eastAsia="Times New Roman" w:hAnsi="Times New Roman" w:cs="Times New Roman"/>
        </w:rPr>
        <w:t xml:space="preserve">  These cases form a highly instructive body of caselaw because they represent, in effect, natural </w:t>
      </w:r>
      <w:r w:rsidR="009F5D3F" w:rsidRPr="00320ADF">
        <w:rPr>
          <w:rFonts w:ascii="Times New Roman" w:eastAsia="Times New Roman" w:hAnsi="Times New Roman" w:cs="Times New Roman"/>
        </w:rPr>
        <w:t xml:space="preserve">resource </w:t>
      </w:r>
      <w:r w:rsidRPr="00320ADF">
        <w:rPr>
          <w:rFonts w:ascii="Times New Roman" w:eastAsia="Times New Roman" w:hAnsi="Times New Roman" w:cs="Times New Roman"/>
        </w:rPr>
        <w:t xml:space="preserve">damage actions without being </w:t>
      </w:r>
      <w:r w:rsidR="009F5D3F" w:rsidRPr="00320ADF">
        <w:rPr>
          <w:rFonts w:ascii="Times New Roman" w:eastAsia="Times New Roman" w:hAnsi="Times New Roman" w:cs="Times New Roman"/>
        </w:rPr>
        <w:t xml:space="preserve">so </w:t>
      </w:r>
      <w:r w:rsidRPr="00320ADF">
        <w:rPr>
          <w:rFonts w:ascii="Times New Roman" w:eastAsia="Times New Roman" w:hAnsi="Times New Roman" w:cs="Times New Roman"/>
        </w:rPr>
        <w:t>explicitly named.   Several have met with success.</w:t>
      </w:r>
    </w:p>
    <w:p w:rsidR="001F1F50" w:rsidRPr="00320ADF" w:rsidRDefault="001F1F50" w:rsidP="00527B69">
      <w:pPr>
        <w:spacing w:line="480" w:lineRule="auto"/>
        <w:ind w:firstLine="720"/>
        <w:jc w:val="both"/>
        <w:rPr>
          <w:rFonts w:ascii="Times New Roman" w:eastAsia="Times New Roman" w:hAnsi="Times New Roman" w:cs="Times New Roman"/>
        </w:rPr>
      </w:pPr>
      <w:r w:rsidRPr="00320ADF">
        <w:rPr>
          <w:rFonts w:ascii="Times New Roman" w:eastAsia="Times New Roman" w:hAnsi="Times New Roman" w:cs="Times New Roman"/>
        </w:rPr>
        <w:t xml:space="preserve"> </w:t>
      </w:r>
      <w:r w:rsidR="00E50669" w:rsidRPr="00320ADF">
        <w:rPr>
          <w:rFonts w:ascii="Times New Roman" w:eastAsia="Times New Roman" w:hAnsi="Times New Roman" w:cs="Times New Roman"/>
        </w:rPr>
        <w:t xml:space="preserve">In New Hampshire, a jury held </w:t>
      </w:r>
      <w:r w:rsidR="005A576A" w:rsidRPr="00320ADF">
        <w:rPr>
          <w:rFonts w:ascii="Times New Roman" w:eastAsia="Times New Roman" w:hAnsi="Times New Roman" w:cs="Times New Roman"/>
        </w:rPr>
        <w:t>ExxonMobil</w:t>
      </w:r>
      <w:r w:rsidR="005A576A" w:rsidRPr="00320ADF" w:rsidDel="005A576A">
        <w:rPr>
          <w:rFonts w:ascii="Times New Roman" w:eastAsia="Times New Roman" w:hAnsi="Times New Roman" w:cs="Times New Roman"/>
        </w:rPr>
        <w:t xml:space="preserve"> </w:t>
      </w:r>
      <w:r w:rsidR="00E50669" w:rsidRPr="00320ADF">
        <w:rPr>
          <w:rFonts w:ascii="Times New Roman" w:eastAsia="Times New Roman" w:hAnsi="Times New Roman" w:cs="Times New Roman"/>
        </w:rPr>
        <w:t>liable for $236 million</w:t>
      </w:r>
      <w:r w:rsidR="004054C7" w:rsidRPr="00320ADF">
        <w:rPr>
          <w:rFonts w:ascii="Times New Roman" w:eastAsia="Times New Roman" w:hAnsi="Times New Roman" w:cs="Times New Roman"/>
        </w:rPr>
        <w:t xml:space="preserve"> to fund groundwater cleanup</w:t>
      </w:r>
      <w:r w:rsidR="00E50669" w:rsidRPr="00320ADF">
        <w:rPr>
          <w:rFonts w:ascii="Times New Roman" w:eastAsia="Times New Roman" w:hAnsi="Times New Roman" w:cs="Times New Roman"/>
        </w:rPr>
        <w:t>.</w:t>
      </w:r>
      <w:r w:rsidR="00A66A16">
        <w:rPr>
          <w:rStyle w:val="FootnoteReference"/>
          <w:rFonts w:ascii="Times New Roman" w:eastAsia="Times New Roman" w:hAnsi="Times New Roman" w:cs="Times New Roman"/>
        </w:rPr>
        <w:footnoteReference w:id="13"/>
      </w:r>
      <w:r w:rsidR="00E50669" w:rsidRPr="00320ADF">
        <w:rPr>
          <w:rFonts w:ascii="Times New Roman" w:eastAsia="Times New Roman" w:hAnsi="Times New Roman" w:cs="Times New Roman"/>
        </w:rPr>
        <w:t xml:space="preserve"> </w:t>
      </w:r>
      <w:r w:rsidR="007C1E54" w:rsidRPr="00320ADF">
        <w:rPr>
          <w:rFonts w:ascii="Times New Roman" w:eastAsia="Times New Roman" w:hAnsi="Times New Roman" w:cs="Times New Roman"/>
        </w:rPr>
        <w:t xml:space="preserve"> </w:t>
      </w:r>
      <w:r w:rsidR="004054C7" w:rsidRPr="00320ADF">
        <w:rPr>
          <w:rFonts w:ascii="Times New Roman" w:eastAsia="Times New Roman" w:hAnsi="Times New Roman" w:cs="Times New Roman"/>
        </w:rPr>
        <w:t>In another case, the</w:t>
      </w:r>
      <w:r w:rsidR="00E50669" w:rsidRPr="00320ADF">
        <w:rPr>
          <w:rFonts w:ascii="Times New Roman" w:eastAsia="Times New Roman" w:hAnsi="Times New Roman" w:cs="Times New Roman"/>
        </w:rPr>
        <w:t xml:space="preserve"> City of New York </w:t>
      </w:r>
      <w:r w:rsidR="00E96CBB">
        <w:rPr>
          <w:rFonts w:ascii="Times New Roman" w:eastAsia="Times New Roman" w:hAnsi="Times New Roman" w:cs="Times New Roman"/>
        </w:rPr>
        <w:t>won</w:t>
      </w:r>
      <w:r w:rsidR="00E96CBB" w:rsidRPr="00320ADF">
        <w:rPr>
          <w:rFonts w:ascii="Times New Roman" w:eastAsia="Times New Roman" w:hAnsi="Times New Roman" w:cs="Times New Roman"/>
        </w:rPr>
        <w:t xml:space="preserve"> </w:t>
      </w:r>
      <w:r w:rsidR="00E50669" w:rsidRPr="00320ADF">
        <w:rPr>
          <w:rFonts w:ascii="Times New Roman" w:eastAsia="Times New Roman" w:hAnsi="Times New Roman" w:cs="Times New Roman"/>
        </w:rPr>
        <w:t xml:space="preserve">a $104 million judgment against ExxonMobil </w:t>
      </w:r>
      <w:r w:rsidR="004054C7" w:rsidRPr="00320ADF">
        <w:rPr>
          <w:rFonts w:ascii="Times New Roman" w:eastAsia="Times New Roman" w:hAnsi="Times New Roman" w:cs="Times New Roman"/>
        </w:rPr>
        <w:t>for groundwater contamination.</w:t>
      </w:r>
      <w:r w:rsidR="00440B67" w:rsidRPr="00320ADF">
        <w:rPr>
          <w:rStyle w:val="FootnoteReference"/>
          <w:rFonts w:ascii="Times New Roman" w:eastAsia="Times New Roman" w:hAnsi="Times New Roman" w:cs="Times New Roman"/>
        </w:rPr>
        <w:footnoteReference w:id="14"/>
      </w:r>
      <w:r w:rsidR="00440B67" w:rsidRPr="00320ADF">
        <w:rPr>
          <w:rFonts w:ascii="Times New Roman" w:eastAsia="Times New Roman" w:hAnsi="Times New Roman" w:cs="Times New Roman"/>
        </w:rPr>
        <w:t xml:space="preserve"> </w:t>
      </w:r>
      <w:r w:rsidR="004054C7" w:rsidRPr="00320ADF">
        <w:rPr>
          <w:rFonts w:ascii="Times New Roman" w:eastAsia="Times New Roman" w:hAnsi="Times New Roman" w:cs="Times New Roman"/>
        </w:rPr>
        <w:t>Beyond court awards,</w:t>
      </w:r>
      <w:r w:rsidR="00E50669" w:rsidRPr="00320ADF">
        <w:rPr>
          <w:rFonts w:ascii="Times New Roman" w:eastAsia="Times New Roman" w:hAnsi="Times New Roman" w:cs="Times New Roman"/>
        </w:rPr>
        <w:t xml:space="preserve"> plaintiff attorneys have </w:t>
      </w:r>
      <w:r w:rsidR="00E96CBB">
        <w:rPr>
          <w:rFonts w:ascii="Times New Roman" w:eastAsia="Times New Roman" w:hAnsi="Times New Roman" w:cs="Times New Roman"/>
        </w:rPr>
        <w:t>gained</w:t>
      </w:r>
      <w:r w:rsidR="00E96CBB" w:rsidRPr="00320ADF">
        <w:rPr>
          <w:rFonts w:ascii="Times New Roman" w:eastAsia="Times New Roman" w:hAnsi="Times New Roman" w:cs="Times New Roman"/>
        </w:rPr>
        <w:t xml:space="preserve"> </w:t>
      </w:r>
      <w:r w:rsidR="004054C7" w:rsidRPr="00320ADF">
        <w:rPr>
          <w:rFonts w:ascii="Times New Roman" w:eastAsia="Times New Roman" w:hAnsi="Times New Roman" w:cs="Times New Roman"/>
        </w:rPr>
        <w:t>huge</w:t>
      </w:r>
      <w:r w:rsidR="00E50669" w:rsidRPr="00320ADF">
        <w:rPr>
          <w:rFonts w:ascii="Times New Roman" w:eastAsia="Times New Roman" w:hAnsi="Times New Roman" w:cs="Times New Roman"/>
        </w:rPr>
        <w:t xml:space="preserve"> </w:t>
      </w:r>
      <w:r w:rsidR="00E54667">
        <w:rPr>
          <w:rFonts w:ascii="Times New Roman" w:eastAsia="Times New Roman" w:hAnsi="Times New Roman" w:cs="Times New Roman"/>
        </w:rPr>
        <w:t>s</w:t>
      </w:r>
      <w:r w:rsidR="00E50669" w:rsidRPr="00320ADF">
        <w:rPr>
          <w:rFonts w:ascii="Times New Roman" w:eastAsia="Times New Roman" w:hAnsi="Times New Roman" w:cs="Times New Roman"/>
        </w:rPr>
        <w:t>ettlements against producer corporations for MTBE contamination.</w:t>
      </w:r>
      <w:r w:rsidR="00E4522F" w:rsidRPr="00320ADF">
        <w:rPr>
          <w:rStyle w:val="FootnoteReference"/>
          <w:rFonts w:ascii="Times New Roman" w:eastAsia="Times New Roman" w:hAnsi="Times New Roman" w:cs="Times New Roman"/>
        </w:rPr>
        <w:footnoteReference w:id="15"/>
      </w:r>
      <w:r w:rsidR="00E50669" w:rsidRPr="00320ADF">
        <w:rPr>
          <w:rFonts w:ascii="Times New Roman" w:eastAsia="Times New Roman" w:hAnsi="Times New Roman" w:cs="Times New Roman"/>
        </w:rPr>
        <w:t xml:space="preserve"> </w:t>
      </w:r>
      <w:r w:rsidR="00EB3FFB" w:rsidRPr="00320ADF">
        <w:rPr>
          <w:rFonts w:ascii="Times New Roman" w:eastAsia="Times New Roman" w:hAnsi="Times New Roman" w:cs="Times New Roman"/>
        </w:rPr>
        <w:t xml:space="preserve"> </w:t>
      </w:r>
      <w:r w:rsidRPr="00320ADF">
        <w:rPr>
          <w:rFonts w:ascii="Times New Roman" w:eastAsia="Times New Roman" w:hAnsi="Times New Roman" w:cs="Times New Roman"/>
        </w:rPr>
        <w:t xml:space="preserve">While </w:t>
      </w:r>
      <w:r w:rsidR="004054C7" w:rsidRPr="00320ADF">
        <w:rPr>
          <w:rFonts w:ascii="Times New Roman" w:eastAsia="Times New Roman" w:hAnsi="Times New Roman" w:cs="Times New Roman"/>
        </w:rPr>
        <w:t>early lawsuits</w:t>
      </w:r>
      <w:r w:rsidRPr="00320ADF">
        <w:rPr>
          <w:rFonts w:ascii="Times New Roman" w:eastAsia="Times New Roman" w:hAnsi="Times New Roman" w:cs="Times New Roman"/>
        </w:rPr>
        <w:t xml:space="preserve"> </w:t>
      </w:r>
      <w:r w:rsidR="004054C7" w:rsidRPr="00320ADF">
        <w:rPr>
          <w:rFonts w:ascii="Times New Roman" w:eastAsia="Times New Roman" w:hAnsi="Times New Roman" w:cs="Times New Roman"/>
        </w:rPr>
        <w:t>did not expressly assert the sovereigns’ public trust authority</w:t>
      </w:r>
      <w:r w:rsidRPr="00320ADF">
        <w:rPr>
          <w:rFonts w:ascii="Times New Roman" w:eastAsia="Times New Roman" w:hAnsi="Times New Roman" w:cs="Times New Roman"/>
        </w:rPr>
        <w:t xml:space="preserve">, </w:t>
      </w:r>
      <w:r w:rsidR="00BA0B40">
        <w:rPr>
          <w:rFonts w:ascii="Times New Roman" w:eastAsia="Times New Roman" w:hAnsi="Times New Roman" w:cs="Times New Roman"/>
        </w:rPr>
        <w:t>two</w:t>
      </w:r>
      <w:r w:rsidR="004054C7" w:rsidRPr="00320ADF">
        <w:rPr>
          <w:rFonts w:ascii="Times New Roman" w:eastAsia="Times New Roman" w:hAnsi="Times New Roman" w:cs="Times New Roman"/>
        </w:rPr>
        <w:t xml:space="preserve"> recent suits do.</w:t>
      </w:r>
      <w:r w:rsidR="004054C7" w:rsidRPr="00320ADF">
        <w:rPr>
          <w:rStyle w:val="FootnoteReference"/>
          <w:rFonts w:ascii="Times New Roman" w:eastAsia="Times New Roman" w:hAnsi="Times New Roman" w:cs="Times New Roman"/>
        </w:rPr>
        <w:footnoteReference w:id="16"/>
      </w:r>
      <w:r w:rsidR="004054C7" w:rsidRPr="00320ADF">
        <w:rPr>
          <w:rFonts w:ascii="Times New Roman" w:eastAsia="Times New Roman" w:hAnsi="Times New Roman" w:cs="Times New Roman"/>
        </w:rPr>
        <w:t xml:space="preserve">  </w:t>
      </w:r>
    </w:p>
    <w:p w:rsidR="00E50669" w:rsidRPr="00320ADF" w:rsidRDefault="001F1F50" w:rsidP="00527B69">
      <w:pPr>
        <w:spacing w:line="480" w:lineRule="auto"/>
        <w:ind w:firstLine="720"/>
        <w:jc w:val="both"/>
        <w:rPr>
          <w:rFonts w:ascii="Times New Roman" w:eastAsia="Times New Roman" w:hAnsi="Times New Roman" w:cs="Times New Roman"/>
        </w:rPr>
      </w:pPr>
      <w:r w:rsidRPr="00320ADF">
        <w:rPr>
          <w:rFonts w:ascii="Times New Roman" w:eastAsia="Times New Roman" w:hAnsi="Times New Roman" w:cs="Times New Roman"/>
        </w:rPr>
        <w:t xml:space="preserve">The MBTE body of caselaw remains highly complex and is still evolving.  </w:t>
      </w:r>
      <w:r w:rsidR="00E50669" w:rsidRPr="00320ADF">
        <w:rPr>
          <w:rFonts w:ascii="Times New Roman" w:eastAsia="Times New Roman" w:hAnsi="Times New Roman" w:cs="Times New Roman"/>
        </w:rPr>
        <w:t>While these cases use a variety of liability theories sounding in tort,</w:t>
      </w:r>
      <w:r w:rsidRPr="00320ADF">
        <w:rPr>
          <w:rFonts w:ascii="Times New Roman" w:eastAsia="Times New Roman" w:hAnsi="Times New Roman" w:cs="Times New Roman"/>
        </w:rPr>
        <w:t xml:space="preserve"> </w:t>
      </w:r>
      <w:r w:rsidR="00E50669" w:rsidRPr="00320ADF">
        <w:rPr>
          <w:rFonts w:ascii="Times New Roman" w:eastAsia="Times New Roman" w:hAnsi="Times New Roman" w:cs="Times New Roman"/>
        </w:rPr>
        <w:t xml:space="preserve">they signal a willingness of </w:t>
      </w:r>
      <w:r w:rsidR="004054C7" w:rsidRPr="00320ADF">
        <w:rPr>
          <w:rFonts w:ascii="Times New Roman" w:eastAsia="Times New Roman" w:hAnsi="Times New Roman" w:cs="Times New Roman"/>
        </w:rPr>
        <w:t xml:space="preserve">many </w:t>
      </w:r>
      <w:r w:rsidR="00E50669" w:rsidRPr="00320ADF">
        <w:rPr>
          <w:rFonts w:ascii="Times New Roman" w:eastAsia="Times New Roman" w:hAnsi="Times New Roman" w:cs="Times New Roman"/>
        </w:rPr>
        <w:t>courts to hold producers responsible for contamination of a vital public resource</w:t>
      </w:r>
      <w:r w:rsidRPr="00320ADF">
        <w:rPr>
          <w:rFonts w:ascii="Times New Roman" w:eastAsia="Times New Roman" w:hAnsi="Times New Roman" w:cs="Times New Roman"/>
        </w:rPr>
        <w:t xml:space="preserve">.  </w:t>
      </w:r>
      <w:r w:rsidR="00BB5790" w:rsidRPr="00320ADF">
        <w:rPr>
          <w:rFonts w:ascii="Times New Roman" w:eastAsia="Times New Roman" w:hAnsi="Times New Roman" w:cs="Times New Roman"/>
        </w:rPr>
        <w:t>These cases</w:t>
      </w:r>
      <w:r w:rsidRPr="00320ADF">
        <w:rPr>
          <w:rFonts w:ascii="Times New Roman" w:eastAsia="Times New Roman" w:hAnsi="Times New Roman" w:cs="Times New Roman"/>
        </w:rPr>
        <w:t xml:space="preserve"> </w:t>
      </w:r>
      <w:r w:rsidR="00E50669" w:rsidRPr="00320ADF">
        <w:rPr>
          <w:rFonts w:ascii="Times New Roman" w:eastAsia="Times New Roman" w:hAnsi="Times New Roman" w:cs="Times New Roman"/>
        </w:rPr>
        <w:t xml:space="preserve">may provide important analysis for use in climate litigation against the Carbon Majors to clean up the atmosphere. </w:t>
      </w:r>
      <w:r w:rsidRPr="00320ADF">
        <w:rPr>
          <w:rFonts w:ascii="Times New Roman" w:eastAsia="Times New Roman" w:hAnsi="Times New Roman" w:cs="Times New Roman"/>
        </w:rPr>
        <w:t xml:space="preserve">   </w:t>
      </w:r>
    </w:p>
    <w:p w:rsidR="001679C2" w:rsidRPr="00320ADF" w:rsidRDefault="00D44255" w:rsidP="00527B69">
      <w:pPr>
        <w:spacing w:line="480" w:lineRule="auto"/>
        <w:ind w:firstLine="720"/>
        <w:jc w:val="both"/>
        <w:rPr>
          <w:rFonts w:ascii="Times New Roman" w:eastAsia="Times New Roman" w:hAnsi="Times New Roman" w:cs="Times New Roman"/>
          <w:b/>
          <w:bCs/>
        </w:rPr>
      </w:pPr>
      <w:r w:rsidRPr="00320ADF">
        <w:rPr>
          <w:rFonts w:ascii="Times New Roman" w:eastAsia="Times New Roman" w:hAnsi="Times New Roman" w:cs="Times New Roman"/>
          <w:b/>
          <w:bCs/>
        </w:rPr>
        <w:lastRenderedPageBreak/>
        <w:t>B.</w:t>
      </w:r>
      <w:r w:rsidR="00584558" w:rsidRPr="00320ADF">
        <w:rPr>
          <w:rFonts w:ascii="Times New Roman" w:eastAsia="Times New Roman" w:hAnsi="Times New Roman" w:cs="Times New Roman"/>
          <w:b/>
          <w:bCs/>
        </w:rPr>
        <w:t xml:space="preserve"> </w:t>
      </w:r>
      <w:r w:rsidR="00BE7F5F" w:rsidRPr="00320ADF">
        <w:rPr>
          <w:rFonts w:ascii="Times New Roman" w:eastAsia="Times New Roman" w:hAnsi="Times New Roman" w:cs="Times New Roman"/>
          <w:b/>
          <w:bCs/>
        </w:rPr>
        <w:t xml:space="preserve">THE MONSANTO PCB SUITS </w:t>
      </w:r>
    </w:p>
    <w:p w:rsidR="00EB3FFB" w:rsidRPr="00320ADF" w:rsidRDefault="006D6945" w:rsidP="00E54667">
      <w:pPr>
        <w:spacing w:line="480" w:lineRule="auto"/>
        <w:ind w:firstLine="720"/>
        <w:jc w:val="both"/>
        <w:rPr>
          <w:rFonts w:ascii="Times New Roman" w:hAnsi="Times New Roman" w:cs="Times New Roman"/>
        </w:rPr>
      </w:pPr>
      <w:r>
        <w:rPr>
          <w:rFonts w:ascii="Times New Roman" w:eastAsia="Times New Roman" w:hAnsi="Times New Roman" w:cs="Times New Roman"/>
        </w:rPr>
        <w:t>At least fifteen lawsuits have been brought by government entities against</w:t>
      </w:r>
      <w:r w:rsidR="009843DD" w:rsidRPr="00320ADF">
        <w:rPr>
          <w:rFonts w:ascii="Times New Roman" w:eastAsia="Times New Roman" w:hAnsi="Times New Roman" w:cs="Times New Roman"/>
        </w:rPr>
        <w:t xml:space="preserve"> </w:t>
      </w:r>
      <w:r w:rsidR="00EB3FFB" w:rsidRPr="00320ADF">
        <w:rPr>
          <w:rFonts w:ascii="Times New Roman" w:eastAsia="Times New Roman" w:hAnsi="Times New Roman" w:cs="Times New Roman"/>
        </w:rPr>
        <w:t>Monsanto Corporation for ecological harm resulting from its manufacture of PCB</w:t>
      </w:r>
      <w:r w:rsidR="00E96CBB">
        <w:rPr>
          <w:rFonts w:ascii="Times New Roman" w:eastAsia="Times New Roman" w:hAnsi="Times New Roman" w:cs="Times New Roman"/>
        </w:rPr>
        <w:t>s</w:t>
      </w:r>
      <w:r w:rsidR="004054C7" w:rsidRPr="00320ADF">
        <w:rPr>
          <w:rFonts w:ascii="Times New Roman" w:eastAsia="Times New Roman" w:hAnsi="Times New Roman" w:cs="Times New Roman"/>
        </w:rPr>
        <w:t>,</w:t>
      </w:r>
      <w:r w:rsidR="00E96CBB">
        <w:rPr>
          <w:rFonts w:ascii="Times New Roman" w:eastAsia="Times New Roman" w:hAnsi="Times New Roman" w:cs="Times New Roman"/>
        </w:rPr>
        <w:t xml:space="preserve"> </w:t>
      </w:r>
      <w:r w:rsidR="00506BFD" w:rsidRPr="00320ADF">
        <w:rPr>
          <w:rFonts w:ascii="Times New Roman" w:eastAsia="Times New Roman" w:hAnsi="Times New Roman" w:cs="Times New Roman"/>
        </w:rPr>
        <w:t>highly</w:t>
      </w:r>
      <w:r w:rsidR="00EB3FFB" w:rsidRPr="00320ADF">
        <w:rPr>
          <w:rFonts w:ascii="Times New Roman" w:eastAsia="Times New Roman" w:hAnsi="Times New Roman" w:cs="Times New Roman"/>
        </w:rPr>
        <w:t xml:space="preserve"> toxic substance</w:t>
      </w:r>
      <w:r w:rsidR="00E96CBB">
        <w:rPr>
          <w:rFonts w:ascii="Times New Roman" w:eastAsia="Times New Roman" w:hAnsi="Times New Roman" w:cs="Times New Roman"/>
        </w:rPr>
        <w:t>s</w:t>
      </w:r>
      <w:r w:rsidR="00EB3FFB" w:rsidRPr="00320ADF">
        <w:rPr>
          <w:rFonts w:ascii="Times New Roman" w:eastAsia="Times New Roman" w:hAnsi="Times New Roman" w:cs="Times New Roman"/>
        </w:rPr>
        <w:t xml:space="preserve"> </w:t>
      </w:r>
      <w:r w:rsidR="00506BFD" w:rsidRPr="00320ADF">
        <w:rPr>
          <w:rFonts w:ascii="Times New Roman" w:eastAsia="Times New Roman" w:hAnsi="Times New Roman" w:cs="Times New Roman"/>
        </w:rPr>
        <w:t>appearing</w:t>
      </w:r>
      <w:r w:rsidR="00EB3FFB" w:rsidRPr="00320ADF">
        <w:rPr>
          <w:rFonts w:ascii="Times New Roman" w:eastAsia="Times New Roman" w:hAnsi="Times New Roman" w:cs="Times New Roman"/>
        </w:rPr>
        <w:t xml:space="preserve"> in waters, sediments, fish</w:t>
      </w:r>
      <w:r w:rsidR="007C1E54" w:rsidRPr="00320ADF">
        <w:rPr>
          <w:rFonts w:ascii="Times New Roman" w:eastAsia="Times New Roman" w:hAnsi="Times New Roman" w:cs="Times New Roman"/>
        </w:rPr>
        <w:t xml:space="preserve">, </w:t>
      </w:r>
      <w:r w:rsidR="00EB3FFB" w:rsidRPr="00320ADF">
        <w:rPr>
          <w:rFonts w:ascii="Times New Roman" w:eastAsia="Times New Roman" w:hAnsi="Times New Roman" w:cs="Times New Roman"/>
        </w:rPr>
        <w:t>wildlife</w:t>
      </w:r>
      <w:r w:rsidR="007C1E54" w:rsidRPr="00320ADF">
        <w:rPr>
          <w:rFonts w:ascii="Times New Roman" w:eastAsia="Times New Roman" w:hAnsi="Times New Roman" w:cs="Times New Roman"/>
        </w:rPr>
        <w:t>,</w:t>
      </w:r>
      <w:r w:rsidR="00EB3FFB" w:rsidRPr="00320ADF">
        <w:rPr>
          <w:rFonts w:ascii="Times New Roman" w:eastAsia="Times New Roman" w:hAnsi="Times New Roman" w:cs="Times New Roman"/>
        </w:rPr>
        <w:t xml:space="preserve"> and </w:t>
      </w:r>
      <w:r w:rsidR="00632382" w:rsidRPr="00320ADF">
        <w:rPr>
          <w:rFonts w:ascii="Times New Roman" w:eastAsia="Times New Roman" w:hAnsi="Times New Roman" w:cs="Times New Roman"/>
        </w:rPr>
        <w:t>other</w:t>
      </w:r>
      <w:r w:rsidR="00EB3FFB" w:rsidRPr="00320ADF">
        <w:rPr>
          <w:rFonts w:ascii="Times New Roman" w:eastAsia="Times New Roman" w:hAnsi="Times New Roman" w:cs="Times New Roman"/>
        </w:rPr>
        <w:t xml:space="preserve"> natural resources.</w:t>
      </w:r>
      <w:r w:rsidR="008A7503">
        <w:rPr>
          <w:rStyle w:val="FootnoteReference"/>
          <w:rFonts w:ascii="Times New Roman" w:eastAsia="Times New Roman" w:hAnsi="Times New Roman" w:cs="Times New Roman"/>
        </w:rPr>
        <w:footnoteReference w:id="17"/>
      </w:r>
      <w:r w:rsidR="00EB3FFB" w:rsidRPr="00320ADF">
        <w:rPr>
          <w:rFonts w:ascii="Times New Roman" w:eastAsia="Times New Roman" w:hAnsi="Times New Roman" w:cs="Times New Roman"/>
        </w:rPr>
        <w:t xml:space="preserve">  These suits generally seek damages </w:t>
      </w:r>
      <w:r w:rsidR="00632382" w:rsidRPr="00320ADF">
        <w:rPr>
          <w:rFonts w:ascii="Times New Roman" w:eastAsia="Times New Roman" w:hAnsi="Times New Roman" w:cs="Times New Roman"/>
        </w:rPr>
        <w:t>to</w:t>
      </w:r>
      <w:r w:rsidR="00EB3FFB" w:rsidRPr="00320ADF">
        <w:rPr>
          <w:rFonts w:ascii="Times New Roman" w:eastAsia="Times New Roman" w:hAnsi="Times New Roman" w:cs="Times New Roman"/>
        </w:rPr>
        <w:t xml:space="preserve"> </w:t>
      </w:r>
      <w:r w:rsidR="00632382" w:rsidRPr="00320ADF">
        <w:rPr>
          <w:rFonts w:ascii="Times New Roman" w:eastAsia="Times New Roman" w:hAnsi="Times New Roman" w:cs="Times New Roman"/>
        </w:rPr>
        <w:t>fund clean</w:t>
      </w:r>
      <w:r w:rsidR="00EB3FFB" w:rsidRPr="00320ADF">
        <w:rPr>
          <w:rFonts w:ascii="Times New Roman" w:eastAsia="Times New Roman" w:hAnsi="Times New Roman" w:cs="Times New Roman"/>
        </w:rPr>
        <w:t xml:space="preserve">up.  Like the </w:t>
      </w:r>
      <w:r w:rsidR="008602EE" w:rsidRPr="00320ADF">
        <w:rPr>
          <w:rFonts w:ascii="Times New Roman" w:eastAsia="Times New Roman" w:hAnsi="Times New Roman" w:cs="Times New Roman"/>
        </w:rPr>
        <w:t>MTBE</w:t>
      </w:r>
      <w:r w:rsidR="00EB3FFB" w:rsidRPr="00320ADF">
        <w:rPr>
          <w:rFonts w:ascii="Times New Roman" w:eastAsia="Times New Roman" w:hAnsi="Times New Roman" w:cs="Times New Roman"/>
        </w:rPr>
        <w:t xml:space="preserve"> suits, these are predicated on Monsanto’s liability as a producer of the toxin.  The claims range widely from general statutory claims to state common law claims such as those relating to public nuisance, negligence, trespass, </w:t>
      </w:r>
      <w:r w:rsidR="00D62300" w:rsidRPr="00320ADF">
        <w:rPr>
          <w:rFonts w:ascii="Times New Roman" w:eastAsia="Times New Roman" w:hAnsi="Times New Roman" w:cs="Times New Roman"/>
        </w:rPr>
        <w:t xml:space="preserve">defective products, </w:t>
      </w:r>
      <w:r w:rsidR="00EB3FFB" w:rsidRPr="00320ADF">
        <w:rPr>
          <w:rFonts w:ascii="Times New Roman" w:eastAsia="Times New Roman" w:hAnsi="Times New Roman" w:cs="Times New Roman"/>
        </w:rPr>
        <w:t>and</w:t>
      </w:r>
      <w:r w:rsidR="009843DD" w:rsidRPr="00320ADF">
        <w:rPr>
          <w:rFonts w:ascii="Times New Roman" w:eastAsia="Times New Roman" w:hAnsi="Times New Roman" w:cs="Times New Roman"/>
        </w:rPr>
        <w:t xml:space="preserve"> others</w:t>
      </w:r>
      <w:r w:rsidR="00EB3FFB" w:rsidRPr="00320ADF">
        <w:rPr>
          <w:rFonts w:ascii="Times New Roman" w:eastAsia="Times New Roman" w:hAnsi="Times New Roman" w:cs="Times New Roman"/>
        </w:rPr>
        <w:t xml:space="preserve">. </w:t>
      </w:r>
      <w:r w:rsidR="00D0404D" w:rsidRPr="00320ADF">
        <w:rPr>
          <w:rFonts w:ascii="Times New Roman" w:eastAsia="Times New Roman" w:hAnsi="Times New Roman" w:cs="Times New Roman"/>
        </w:rPr>
        <w:t xml:space="preserve"> Like the M</w:t>
      </w:r>
      <w:r w:rsidR="00E96CBB">
        <w:rPr>
          <w:rFonts w:ascii="Times New Roman" w:eastAsia="Times New Roman" w:hAnsi="Times New Roman" w:cs="Times New Roman"/>
        </w:rPr>
        <w:t>TB</w:t>
      </w:r>
      <w:r w:rsidR="00D0404D" w:rsidRPr="00320ADF">
        <w:rPr>
          <w:rFonts w:ascii="Times New Roman" w:eastAsia="Times New Roman" w:hAnsi="Times New Roman" w:cs="Times New Roman"/>
        </w:rPr>
        <w:t xml:space="preserve">E suits, these are generally not called natural resource damage recovery actions, but the public trust frame has provided prominent grounding </w:t>
      </w:r>
      <w:r w:rsidR="00E31E17" w:rsidRPr="00320ADF">
        <w:rPr>
          <w:rFonts w:ascii="Times New Roman" w:eastAsia="Times New Roman" w:hAnsi="Times New Roman" w:cs="Times New Roman"/>
        </w:rPr>
        <w:t xml:space="preserve">for </w:t>
      </w:r>
      <w:r w:rsidR="00E96CBB">
        <w:rPr>
          <w:rFonts w:ascii="Times New Roman" w:eastAsia="Times New Roman" w:hAnsi="Times New Roman" w:cs="Times New Roman"/>
        </w:rPr>
        <w:t>some</w:t>
      </w:r>
      <w:r w:rsidR="00E96CBB" w:rsidRPr="00320ADF">
        <w:rPr>
          <w:rFonts w:ascii="Times New Roman" w:eastAsia="Times New Roman" w:hAnsi="Times New Roman" w:cs="Times New Roman"/>
        </w:rPr>
        <w:t xml:space="preserve"> </w:t>
      </w:r>
      <w:r w:rsidR="00506BFD" w:rsidRPr="00320ADF">
        <w:rPr>
          <w:rFonts w:ascii="Times New Roman" w:eastAsia="Times New Roman" w:hAnsi="Times New Roman" w:cs="Times New Roman"/>
        </w:rPr>
        <w:t>of the lawsuits</w:t>
      </w:r>
      <w:r w:rsidR="00D0404D" w:rsidRPr="00320ADF">
        <w:rPr>
          <w:rFonts w:ascii="Times New Roman" w:eastAsia="Times New Roman" w:hAnsi="Times New Roman" w:cs="Times New Roman"/>
        </w:rPr>
        <w:t xml:space="preserve">.  </w:t>
      </w:r>
      <w:r w:rsidR="00506BFD" w:rsidRPr="00320ADF">
        <w:rPr>
          <w:rFonts w:ascii="Times New Roman" w:eastAsia="Times New Roman" w:hAnsi="Times New Roman" w:cs="Times New Roman"/>
        </w:rPr>
        <w:t>Complaints filed by the states of Oregon</w:t>
      </w:r>
      <w:r w:rsidR="00D62300">
        <w:rPr>
          <w:rFonts w:ascii="Times New Roman" w:eastAsia="Times New Roman" w:hAnsi="Times New Roman" w:cs="Times New Roman"/>
        </w:rPr>
        <w:t>, Washington,</w:t>
      </w:r>
      <w:r w:rsidR="00506BFD" w:rsidRPr="00320ADF">
        <w:rPr>
          <w:rFonts w:ascii="Times New Roman" w:eastAsia="Times New Roman" w:hAnsi="Times New Roman" w:cs="Times New Roman"/>
        </w:rPr>
        <w:t xml:space="preserve"> and Ohio, for example,</w:t>
      </w:r>
      <w:r w:rsidR="00D0404D" w:rsidRPr="00320ADF">
        <w:rPr>
          <w:rFonts w:ascii="Times New Roman" w:eastAsia="Times New Roman" w:hAnsi="Times New Roman" w:cs="Times New Roman"/>
        </w:rPr>
        <w:t xml:space="preserve"> </w:t>
      </w:r>
      <w:r w:rsidR="00506BFD" w:rsidRPr="00320ADF">
        <w:rPr>
          <w:rFonts w:ascii="Times New Roman" w:eastAsia="Times New Roman" w:hAnsi="Times New Roman" w:cs="Times New Roman"/>
        </w:rPr>
        <w:t xml:space="preserve">expressly </w:t>
      </w:r>
      <w:r w:rsidR="00D0404D" w:rsidRPr="00320ADF">
        <w:rPr>
          <w:rFonts w:ascii="Times New Roman" w:eastAsia="Times New Roman" w:hAnsi="Times New Roman" w:cs="Times New Roman"/>
        </w:rPr>
        <w:t xml:space="preserve">assert public trust authority to sue polluters and recover damages to </w:t>
      </w:r>
      <w:r w:rsidR="00E31E17" w:rsidRPr="00320ADF">
        <w:rPr>
          <w:rFonts w:ascii="Times New Roman" w:eastAsia="Times New Roman" w:hAnsi="Times New Roman" w:cs="Times New Roman"/>
        </w:rPr>
        <w:t>state</w:t>
      </w:r>
      <w:r w:rsidR="00D0404D" w:rsidRPr="00320ADF">
        <w:rPr>
          <w:rFonts w:ascii="Times New Roman" w:eastAsia="Times New Roman" w:hAnsi="Times New Roman" w:cs="Times New Roman"/>
        </w:rPr>
        <w:t xml:space="preserve"> public trust resources</w:t>
      </w:r>
      <w:r w:rsidR="00632382" w:rsidRPr="00320ADF">
        <w:rPr>
          <w:rFonts w:ascii="Times New Roman" w:eastAsia="Times New Roman" w:hAnsi="Times New Roman" w:cs="Times New Roman"/>
        </w:rPr>
        <w:t>.</w:t>
      </w:r>
      <w:r w:rsidR="004B1555" w:rsidRPr="00320ADF">
        <w:rPr>
          <w:rStyle w:val="FootnoteReference"/>
          <w:rFonts w:ascii="Times New Roman" w:eastAsia="Times New Roman" w:hAnsi="Times New Roman" w:cs="Times New Roman"/>
        </w:rPr>
        <w:footnoteReference w:id="18"/>
      </w:r>
      <w:r w:rsidR="00E54667">
        <w:rPr>
          <w:rFonts w:ascii="Times New Roman" w:eastAsia="Times New Roman" w:hAnsi="Times New Roman" w:cs="Times New Roman"/>
        </w:rPr>
        <w:t xml:space="preserve"> </w:t>
      </w:r>
      <w:r w:rsidR="00E34ED4" w:rsidRPr="00320ADF">
        <w:rPr>
          <w:rFonts w:ascii="Times New Roman" w:eastAsia="Times New Roman" w:hAnsi="Times New Roman" w:cs="Times New Roman"/>
        </w:rPr>
        <w:t>This</w:t>
      </w:r>
      <w:r w:rsidR="009843DD" w:rsidRPr="00320ADF">
        <w:rPr>
          <w:rFonts w:ascii="Times New Roman" w:eastAsia="Times New Roman" w:hAnsi="Times New Roman" w:cs="Times New Roman"/>
        </w:rPr>
        <w:t xml:space="preserve"> vast and quickly evolving field</w:t>
      </w:r>
      <w:r w:rsidR="00E34ED4" w:rsidRPr="00320ADF">
        <w:rPr>
          <w:rFonts w:ascii="Times New Roman" w:eastAsia="Times New Roman" w:hAnsi="Times New Roman" w:cs="Times New Roman"/>
        </w:rPr>
        <w:t xml:space="preserve"> has produced several early</w:t>
      </w:r>
      <w:r w:rsidR="008602EE" w:rsidRPr="00320ADF">
        <w:rPr>
          <w:rFonts w:ascii="Times New Roman" w:eastAsia="Times New Roman" w:hAnsi="Times New Roman" w:cs="Times New Roman"/>
        </w:rPr>
        <w:t xml:space="preserve"> procedural victories.</w:t>
      </w:r>
      <w:r w:rsidR="00E34ED4" w:rsidRPr="00320ADF">
        <w:rPr>
          <w:rStyle w:val="FootnoteReference"/>
          <w:rFonts w:ascii="Times New Roman" w:eastAsia="Times New Roman" w:hAnsi="Times New Roman" w:cs="Times New Roman"/>
        </w:rPr>
        <w:footnoteReference w:id="19"/>
      </w:r>
      <w:r w:rsidR="00C00FEE">
        <w:rPr>
          <w:rFonts w:ascii="Times New Roman" w:eastAsia="Times New Roman" w:hAnsi="Times New Roman" w:cs="Times New Roman"/>
        </w:rPr>
        <w:t xml:space="preserve">  </w:t>
      </w:r>
      <w:r w:rsidR="009843DD" w:rsidRPr="00320ADF">
        <w:rPr>
          <w:rFonts w:ascii="Times New Roman" w:eastAsia="Times New Roman" w:hAnsi="Times New Roman" w:cs="Times New Roman"/>
        </w:rPr>
        <w:t>In Washington, the federal district court rejected a motion to dismiss</w:t>
      </w:r>
      <w:r w:rsidR="009F5D3F" w:rsidRPr="00320ADF">
        <w:rPr>
          <w:rFonts w:ascii="Times New Roman" w:eastAsia="Times New Roman" w:hAnsi="Times New Roman" w:cs="Times New Roman"/>
        </w:rPr>
        <w:t xml:space="preserve">, </w:t>
      </w:r>
      <w:r w:rsidR="00D0404D" w:rsidRPr="00320ADF">
        <w:rPr>
          <w:rFonts w:ascii="Times New Roman" w:eastAsia="Times New Roman" w:hAnsi="Times New Roman" w:cs="Times New Roman"/>
        </w:rPr>
        <w:t>allow</w:t>
      </w:r>
      <w:r w:rsidR="009F5D3F" w:rsidRPr="00320ADF">
        <w:rPr>
          <w:rFonts w:ascii="Times New Roman" w:eastAsia="Times New Roman" w:hAnsi="Times New Roman" w:cs="Times New Roman"/>
        </w:rPr>
        <w:t>ing</w:t>
      </w:r>
      <w:r w:rsidR="00D0404D" w:rsidRPr="00320ADF">
        <w:rPr>
          <w:rFonts w:ascii="Times New Roman" w:eastAsia="Times New Roman" w:hAnsi="Times New Roman" w:cs="Times New Roman"/>
        </w:rPr>
        <w:t xml:space="preserve"> the City of Seattle’s public nuisance, product liability, and nuisance claims to proceed.</w:t>
      </w:r>
      <w:r w:rsidR="001A72C2">
        <w:rPr>
          <w:rStyle w:val="FootnoteReference"/>
          <w:rFonts w:ascii="Times New Roman" w:eastAsia="Times New Roman" w:hAnsi="Times New Roman" w:cs="Times New Roman"/>
        </w:rPr>
        <w:footnoteReference w:id="20"/>
      </w:r>
      <w:r w:rsidR="00D0404D" w:rsidRPr="00320ADF">
        <w:rPr>
          <w:rFonts w:ascii="Times New Roman" w:eastAsia="Times New Roman" w:hAnsi="Times New Roman" w:cs="Times New Roman"/>
        </w:rPr>
        <w:t xml:space="preserve">  </w:t>
      </w:r>
      <w:r w:rsidR="00827C7A" w:rsidRPr="00320ADF">
        <w:rPr>
          <w:rFonts w:ascii="Times New Roman" w:eastAsia="Times New Roman" w:hAnsi="Times New Roman" w:cs="Times New Roman"/>
        </w:rPr>
        <w:t xml:space="preserve">The court found that the claims were not </w:t>
      </w:r>
      <w:r w:rsidR="00D0404D" w:rsidRPr="00320ADF">
        <w:rPr>
          <w:rFonts w:ascii="Times New Roman" w:eastAsia="Times New Roman" w:hAnsi="Times New Roman" w:cs="Times New Roman"/>
        </w:rPr>
        <w:t>time</w:t>
      </w:r>
      <w:r w:rsidR="00827C7A" w:rsidRPr="00320ADF">
        <w:rPr>
          <w:rFonts w:ascii="Times New Roman" w:eastAsia="Times New Roman" w:hAnsi="Times New Roman" w:cs="Times New Roman"/>
        </w:rPr>
        <w:t>-</w:t>
      </w:r>
      <w:r w:rsidR="00D0404D" w:rsidRPr="00320ADF">
        <w:rPr>
          <w:rFonts w:ascii="Times New Roman" w:eastAsia="Times New Roman" w:hAnsi="Times New Roman" w:cs="Times New Roman"/>
        </w:rPr>
        <w:t>barred under a state statute (as private claims would be), because they were carrying out the state’s public trust duty to protect waters</w:t>
      </w:r>
      <w:r w:rsidR="00827C7A" w:rsidRPr="00320ADF">
        <w:rPr>
          <w:rFonts w:ascii="Times New Roman" w:eastAsia="Times New Roman" w:hAnsi="Times New Roman" w:cs="Times New Roman"/>
        </w:rPr>
        <w:t>.</w:t>
      </w:r>
      <w:r w:rsidR="002A4D7B" w:rsidRPr="00320ADF">
        <w:rPr>
          <w:rStyle w:val="FootnoteReference"/>
          <w:rFonts w:ascii="Times New Roman" w:eastAsia="Times New Roman" w:hAnsi="Times New Roman" w:cs="Times New Roman"/>
        </w:rPr>
        <w:footnoteReference w:id="21"/>
      </w:r>
      <w:r w:rsidR="00827C7A" w:rsidRPr="00320ADF">
        <w:rPr>
          <w:rFonts w:ascii="Times New Roman" w:eastAsia="Times New Roman" w:hAnsi="Times New Roman" w:cs="Times New Roman"/>
        </w:rPr>
        <w:t xml:space="preserve">  </w:t>
      </w:r>
      <w:r w:rsidR="009843DD" w:rsidRPr="00320ADF">
        <w:rPr>
          <w:rFonts w:ascii="Times New Roman" w:eastAsia="Times New Roman" w:hAnsi="Times New Roman" w:cs="Times New Roman"/>
        </w:rPr>
        <w:t xml:space="preserve">In Oregon, </w:t>
      </w:r>
      <w:r w:rsidR="00D0404D" w:rsidRPr="00320ADF">
        <w:rPr>
          <w:rFonts w:ascii="Times New Roman" w:eastAsia="Times New Roman" w:hAnsi="Times New Roman" w:cs="Times New Roman"/>
        </w:rPr>
        <w:t xml:space="preserve">where the State framed the lawsuit predominantly as one to recover damages to clean up public trust assets, </w:t>
      </w:r>
      <w:r w:rsidR="009843DD" w:rsidRPr="00320ADF">
        <w:rPr>
          <w:rFonts w:ascii="Times New Roman" w:eastAsia="Times New Roman" w:hAnsi="Times New Roman" w:cs="Times New Roman"/>
        </w:rPr>
        <w:t xml:space="preserve">the </w:t>
      </w:r>
      <w:r w:rsidR="00D0404D" w:rsidRPr="00320ADF">
        <w:rPr>
          <w:rFonts w:ascii="Times New Roman" w:eastAsia="Times New Roman" w:hAnsi="Times New Roman" w:cs="Times New Roman"/>
        </w:rPr>
        <w:t>court rejected</w:t>
      </w:r>
      <w:r w:rsidR="007C1E54" w:rsidRPr="00320ADF">
        <w:rPr>
          <w:rFonts w:ascii="Times New Roman" w:eastAsia="Times New Roman" w:hAnsi="Times New Roman" w:cs="Times New Roman"/>
        </w:rPr>
        <w:t xml:space="preserve"> defendant’s</w:t>
      </w:r>
      <w:r w:rsidR="00D0404D" w:rsidRPr="00320ADF">
        <w:rPr>
          <w:rFonts w:ascii="Times New Roman" w:eastAsia="Times New Roman" w:hAnsi="Times New Roman" w:cs="Times New Roman"/>
        </w:rPr>
        <w:t xml:space="preserve"> motion to dismiss in part, allowing </w:t>
      </w:r>
      <w:r w:rsidR="00827C7A" w:rsidRPr="00320ADF">
        <w:rPr>
          <w:rFonts w:ascii="Times New Roman" w:eastAsia="Times New Roman" w:hAnsi="Times New Roman" w:cs="Times New Roman"/>
        </w:rPr>
        <w:t>claims for</w:t>
      </w:r>
      <w:r w:rsidR="00D0404D" w:rsidRPr="00320ADF">
        <w:rPr>
          <w:rFonts w:ascii="Times New Roman" w:eastAsia="Times New Roman" w:hAnsi="Times New Roman" w:cs="Times New Roman"/>
        </w:rPr>
        <w:t xml:space="preserve"> public nuisance and trespass to public </w:t>
      </w:r>
      <w:r w:rsidR="00D0404D" w:rsidRPr="00320ADF">
        <w:rPr>
          <w:rFonts w:ascii="Times New Roman" w:eastAsia="Times New Roman" w:hAnsi="Times New Roman" w:cs="Times New Roman"/>
        </w:rPr>
        <w:lastRenderedPageBreak/>
        <w:t>trust resources</w:t>
      </w:r>
      <w:r w:rsidR="00827C7A" w:rsidRPr="00320ADF">
        <w:rPr>
          <w:rFonts w:ascii="Times New Roman" w:eastAsia="Times New Roman" w:hAnsi="Times New Roman" w:cs="Times New Roman"/>
        </w:rPr>
        <w:t xml:space="preserve"> to proceed</w:t>
      </w:r>
      <w:r w:rsidR="00D0404D" w:rsidRPr="008756A1">
        <w:rPr>
          <w:rFonts w:ascii="Times New Roman" w:eastAsia="Times New Roman" w:hAnsi="Times New Roman" w:cs="Times New Roman"/>
        </w:rPr>
        <w:t>.</w:t>
      </w:r>
      <w:r w:rsidR="001C4D9B">
        <w:rPr>
          <w:rStyle w:val="FootnoteReference"/>
          <w:rFonts w:ascii="Times New Roman" w:eastAsia="Times New Roman" w:hAnsi="Times New Roman" w:cs="Times New Roman"/>
        </w:rPr>
        <w:footnoteReference w:id="22"/>
      </w:r>
      <w:r w:rsidR="00D0404D" w:rsidRPr="008756A1">
        <w:rPr>
          <w:rFonts w:ascii="Times New Roman" w:eastAsia="Times New Roman" w:hAnsi="Times New Roman" w:cs="Times New Roman"/>
        </w:rPr>
        <w:t xml:space="preserve"> </w:t>
      </w:r>
      <w:r w:rsidR="00E96CBB">
        <w:rPr>
          <w:rFonts w:ascii="Times New Roman" w:eastAsia="Times New Roman" w:hAnsi="Times New Roman" w:cs="Times New Roman"/>
        </w:rPr>
        <w:t>In Ohio, a court allowed several claims, including the public trust claim, to proceed.</w:t>
      </w:r>
      <w:r w:rsidR="00E96CBB">
        <w:rPr>
          <w:rStyle w:val="FootnoteReference"/>
          <w:rFonts w:ascii="Times New Roman" w:eastAsia="Times New Roman" w:hAnsi="Times New Roman" w:cs="Times New Roman"/>
        </w:rPr>
        <w:footnoteReference w:id="23"/>
      </w:r>
      <w:r w:rsidR="00E96CBB">
        <w:rPr>
          <w:rFonts w:ascii="Times New Roman" w:eastAsia="Times New Roman" w:hAnsi="Times New Roman" w:cs="Times New Roman"/>
        </w:rPr>
        <w:t xml:space="preserve">  </w:t>
      </w:r>
      <w:r w:rsidR="00D0404D" w:rsidRPr="008756A1">
        <w:rPr>
          <w:rFonts w:ascii="Times New Roman" w:eastAsia="Times New Roman" w:hAnsi="Times New Roman" w:cs="Times New Roman"/>
        </w:rPr>
        <w:t xml:space="preserve"> </w:t>
      </w:r>
      <w:r w:rsidR="001669B8" w:rsidRPr="008756A1">
        <w:rPr>
          <w:rFonts w:ascii="Times New Roman" w:eastAsia="Times New Roman" w:hAnsi="Times New Roman" w:cs="Times New Roman"/>
        </w:rPr>
        <w:t>Motions to dismiss have failed in several other cases as well.</w:t>
      </w:r>
      <w:r w:rsidR="001669B8" w:rsidRPr="008756A1">
        <w:rPr>
          <w:rStyle w:val="FootnoteReference"/>
          <w:rFonts w:ascii="Times New Roman" w:eastAsia="Times New Roman" w:hAnsi="Times New Roman" w:cs="Times New Roman"/>
        </w:rPr>
        <w:footnoteReference w:id="24"/>
      </w:r>
    </w:p>
    <w:p w:rsidR="00DB5C82" w:rsidRPr="00320ADF" w:rsidRDefault="00DB5C82" w:rsidP="007C1E54">
      <w:pPr>
        <w:pStyle w:val="ListParagraph"/>
        <w:numPr>
          <w:ilvl w:val="0"/>
          <w:numId w:val="32"/>
        </w:numPr>
        <w:spacing w:line="480" w:lineRule="auto"/>
        <w:jc w:val="both"/>
        <w:rPr>
          <w:rFonts w:eastAsia="Times New Roman"/>
          <w:b/>
          <w:bCs/>
        </w:rPr>
      </w:pPr>
      <w:r w:rsidRPr="00320ADF">
        <w:rPr>
          <w:rFonts w:eastAsia="Times New Roman"/>
          <w:b/>
          <w:bCs/>
        </w:rPr>
        <w:t xml:space="preserve">THE </w:t>
      </w:r>
      <w:r w:rsidR="00E00701" w:rsidRPr="00320ADF">
        <w:rPr>
          <w:rFonts w:eastAsia="Times New Roman"/>
          <w:b/>
          <w:bCs/>
        </w:rPr>
        <w:t>CLIMATE LIABI</w:t>
      </w:r>
      <w:r w:rsidR="00760E2C">
        <w:rPr>
          <w:rFonts w:eastAsia="Times New Roman"/>
          <w:b/>
          <w:bCs/>
        </w:rPr>
        <w:t>LI</w:t>
      </w:r>
      <w:r w:rsidR="00E00701" w:rsidRPr="00320ADF">
        <w:rPr>
          <w:rFonts w:eastAsia="Times New Roman"/>
          <w:b/>
          <w:bCs/>
        </w:rPr>
        <w:t>TY</w:t>
      </w:r>
      <w:r w:rsidRPr="00320ADF">
        <w:rPr>
          <w:rFonts w:eastAsia="Times New Roman"/>
          <w:b/>
          <w:bCs/>
        </w:rPr>
        <w:t xml:space="preserve"> DAMAGES SUITS </w:t>
      </w:r>
    </w:p>
    <w:p w:rsidR="000C54EA" w:rsidRPr="00320ADF" w:rsidRDefault="000C54EA" w:rsidP="00527B69">
      <w:pPr>
        <w:spacing w:line="480" w:lineRule="auto"/>
        <w:ind w:firstLine="720"/>
        <w:jc w:val="both"/>
        <w:rPr>
          <w:rFonts w:ascii="Times New Roman" w:eastAsia="Times New Roman" w:hAnsi="Times New Roman" w:cs="Times New Roman"/>
        </w:rPr>
      </w:pPr>
      <w:r w:rsidRPr="00320ADF">
        <w:rPr>
          <w:rFonts w:ascii="Times New Roman" w:eastAsia="Times New Roman" w:hAnsi="Times New Roman" w:cs="Times New Roman"/>
        </w:rPr>
        <w:t xml:space="preserve">The third </w:t>
      </w:r>
      <w:r w:rsidR="00632382" w:rsidRPr="00320ADF">
        <w:rPr>
          <w:rFonts w:ascii="Times New Roman" w:eastAsia="Times New Roman" w:hAnsi="Times New Roman" w:cs="Times New Roman"/>
        </w:rPr>
        <w:t xml:space="preserve">relevant </w:t>
      </w:r>
      <w:r w:rsidRPr="00320ADF">
        <w:rPr>
          <w:rFonts w:ascii="Times New Roman" w:eastAsia="Times New Roman" w:hAnsi="Times New Roman" w:cs="Times New Roman"/>
        </w:rPr>
        <w:t xml:space="preserve">category </w:t>
      </w:r>
      <w:r w:rsidR="00B04DB7" w:rsidRPr="00320ADF">
        <w:rPr>
          <w:rFonts w:ascii="Times New Roman" w:eastAsia="Times New Roman" w:hAnsi="Times New Roman" w:cs="Times New Roman"/>
        </w:rPr>
        <w:t>includes</w:t>
      </w:r>
      <w:r w:rsidRPr="00320ADF">
        <w:rPr>
          <w:rFonts w:ascii="Times New Roman" w:eastAsia="Times New Roman" w:hAnsi="Times New Roman" w:cs="Times New Roman"/>
        </w:rPr>
        <w:t xml:space="preserve"> suits by cities, counties</w:t>
      </w:r>
      <w:r w:rsidR="00B04DB7" w:rsidRPr="00320ADF">
        <w:rPr>
          <w:rFonts w:ascii="Times New Roman" w:eastAsia="Times New Roman" w:hAnsi="Times New Roman" w:cs="Times New Roman"/>
        </w:rPr>
        <w:t xml:space="preserve">, and </w:t>
      </w:r>
      <w:r w:rsidRPr="00320ADF">
        <w:rPr>
          <w:rFonts w:ascii="Times New Roman" w:eastAsia="Times New Roman" w:hAnsi="Times New Roman" w:cs="Times New Roman"/>
        </w:rPr>
        <w:t>one state</w:t>
      </w:r>
      <w:r w:rsidR="00B04DB7" w:rsidRPr="00320ADF">
        <w:rPr>
          <w:rFonts w:ascii="Times New Roman" w:eastAsia="Times New Roman" w:hAnsi="Times New Roman" w:cs="Times New Roman"/>
        </w:rPr>
        <w:t xml:space="preserve"> </w:t>
      </w:r>
      <w:r w:rsidRPr="00320ADF">
        <w:rPr>
          <w:rFonts w:ascii="Times New Roman" w:eastAsia="Times New Roman" w:hAnsi="Times New Roman" w:cs="Times New Roman"/>
        </w:rPr>
        <w:t>against large corporate producers of fossil fuels seeking damages for adaptation or relocation</w:t>
      </w:r>
      <w:r w:rsidR="00E96CBB">
        <w:rPr>
          <w:rFonts w:ascii="Times New Roman" w:eastAsia="Times New Roman" w:hAnsi="Times New Roman" w:cs="Times New Roman"/>
        </w:rPr>
        <w:t xml:space="preserve"> costs</w:t>
      </w:r>
      <w:r w:rsidRPr="00320ADF">
        <w:rPr>
          <w:rFonts w:ascii="Times New Roman" w:eastAsia="Times New Roman" w:hAnsi="Times New Roman" w:cs="Times New Roman"/>
        </w:rPr>
        <w:t xml:space="preserve">.   These suits </w:t>
      </w:r>
      <w:r w:rsidR="0018606D" w:rsidRPr="00320ADF">
        <w:rPr>
          <w:rFonts w:ascii="Times New Roman" w:eastAsia="Times New Roman" w:hAnsi="Times New Roman" w:cs="Times New Roman"/>
        </w:rPr>
        <w:t xml:space="preserve">represent the </w:t>
      </w:r>
      <w:r w:rsidRPr="00320ADF">
        <w:rPr>
          <w:rFonts w:ascii="Times New Roman" w:eastAsia="Times New Roman" w:hAnsi="Times New Roman" w:cs="Times New Roman"/>
        </w:rPr>
        <w:t xml:space="preserve">second round of climate lawsuits against the fossil fuel industry.  The first </w:t>
      </w:r>
      <w:r w:rsidR="0018606D" w:rsidRPr="00320ADF">
        <w:rPr>
          <w:rFonts w:ascii="Times New Roman" w:eastAsia="Times New Roman" w:hAnsi="Times New Roman" w:cs="Times New Roman"/>
        </w:rPr>
        <w:t>group</w:t>
      </w:r>
      <w:r w:rsidRPr="00320ADF">
        <w:rPr>
          <w:rFonts w:ascii="Times New Roman" w:eastAsia="Times New Roman" w:hAnsi="Times New Roman" w:cs="Times New Roman"/>
        </w:rPr>
        <w:t xml:space="preserve"> primarily </w:t>
      </w:r>
      <w:r w:rsidR="0018606D" w:rsidRPr="00320ADF">
        <w:rPr>
          <w:rFonts w:ascii="Times New Roman" w:eastAsia="Times New Roman" w:hAnsi="Times New Roman" w:cs="Times New Roman"/>
        </w:rPr>
        <w:t>asserted</w:t>
      </w:r>
      <w:r w:rsidRPr="00320ADF">
        <w:rPr>
          <w:rFonts w:ascii="Times New Roman" w:eastAsia="Times New Roman" w:hAnsi="Times New Roman" w:cs="Times New Roman"/>
        </w:rPr>
        <w:t xml:space="preserve"> federal common law nuisance claims, an avenue that was rejected by the U.S. Supreme Court in </w:t>
      </w:r>
      <w:r w:rsidRPr="00320ADF">
        <w:rPr>
          <w:rFonts w:ascii="Times New Roman" w:eastAsia="Times New Roman" w:hAnsi="Times New Roman" w:cs="Times New Roman"/>
          <w:i/>
          <w:iCs/>
        </w:rPr>
        <w:t>American Electric Power</w:t>
      </w:r>
      <w:r w:rsidR="00D94DD5">
        <w:rPr>
          <w:rFonts w:ascii="Times New Roman" w:eastAsia="Times New Roman" w:hAnsi="Times New Roman" w:cs="Times New Roman"/>
          <w:i/>
          <w:iCs/>
        </w:rPr>
        <w:t xml:space="preserve"> (AEP)</w:t>
      </w:r>
      <w:r w:rsidR="0062459E" w:rsidRPr="00320ADF">
        <w:rPr>
          <w:rFonts w:ascii="Times New Roman" w:eastAsia="Times New Roman" w:hAnsi="Times New Roman" w:cs="Times New Roman"/>
          <w:i/>
          <w:iCs/>
        </w:rPr>
        <w:t xml:space="preserve"> </w:t>
      </w:r>
      <w:r w:rsidRPr="00320ADF">
        <w:rPr>
          <w:rFonts w:ascii="Times New Roman" w:eastAsia="Times New Roman" w:hAnsi="Times New Roman" w:cs="Times New Roman"/>
          <w:i/>
          <w:iCs/>
        </w:rPr>
        <w:t>v. Connecticu</w:t>
      </w:r>
      <w:r w:rsidR="00D94DD5">
        <w:rPr>
          <w:rFonts w:ascii="Times New Roman" w:eastAsia="Times New Roman" w:hAnsi="Times New Roman" w:cs="Times New Roman"/>
          <w:i/>
          <w:iCs/>
        </w:rPr>
        <w:t>t</w:t>
      </w:r>
      <w:r w:rsidR="00D94DD5">
        <w:rPr>
          <w:rFonts w:ascii="Times New Roman" w:eastAsia="Times New Roman" w:hAnsi="Times New Roman" w:cs="Times New Roman"/>
        </w:rPr>
        <w:t>,</w:t>
      </w:r>
      <w:r w:rsidR="00166609" w:rsidRPr="00320ADF">
        <w:rPr>
          <w:rFonts w:ascii="Times New Roman" w:eastAsia="Times New Roman" w:hAnsi="Times New Roman" w:cs="Times New Roman"/>
          <w:i/>
          <w:iCs/>
        </w:rPr>
        <w:t xml:space="preserve"> </w:t>
      </w:r>
      <w:r w:rsidR="00632382" w:rsidRPr="00320ADF">
        <w:rPr>
          <w:rFonts w:ascii="Times New Roman" w:eastAsia="Times New Roman" w:hAnsi="Times New Roman" w:cs="Times New Roman"/>
        </w:rPr>
        <w:t>on grounds</w:t>
      </w:r>
      <w:r w:rsidR="00166609" w:rsidRPr="00320ADF">
        <w:rPr>
          <w:rFonts w:ascii="Times New Roman" w:eastAsia="Times New Roman" w:hAnsi="Times New Roman" w:cs="Times New Roman"/>
        </w:rPr>
        <w:t xml:space="preserve"> that</w:t>
      </w:r>
      <w:r w:rsidRPr="00320ADF">
        <w:rPr>
          <w:rFonts w:ascii="Times New Roman" w:eastAsia="Times New Roman" w:hAnsi="Times New Roman" w:cs="Times New Roman"/>
        </w:rPr>
        <w:t xml:space="preserve"> </w:t>
      </w:r>
      <w:r w:rsidR="00166609" w:rsidRPr="00320ADF">
        <w:rPr>
          <w:rFonts w:ascii="Times New Roman" w:eastAsia="Times New Roman" w:hAnsi="Times New Roman" w:cs="Times New Roman"/>
        </w:rPr>
        <w:t>the federal</w:t>
      </w:r>
      <w:r w:rsidRPr="00320ADF">
        <w:rPr>
          <w:rFonts w:ascii="Times New Roman" w:eastAsia="Times New Roman" w:hAnsi="Times New Roman" w:cs="Times New Roman"/>
        </w:rPr>
        <w:t xml:space="preserve"> Clean Air Act </w:t>
      </w:r>
      <w:r w:rsidR="00166609" w:rsidRPr="00320ADF">
        <w:rPr>
          <w:rFonts w:ascii="Times New Roman" w:eastAsia="Times New Roman" w:hAnsi="Times New Roman" w:cs="Times New Roman"/>
        </w:rPr>
        <w:t>displaced such claims</w:t>
      </w:r>
      <w:r w:rsidRPr="00320ADF">
        <w:rPr>
          <w:rFonts w:ascii="Times New Roman" w:eastAsia="Times New Roman" w:hAnsi="Times New Roman" w:cs="Times New Roman"/>
        </w:rPr>
        <w:t>.</w:t>
      </w:r>
      <w:r w:rsidR="005D626C" w:rsidRPr="00320ADF">
        <w:rPr>
          <w:rStyle w:val="FootnoteReference"/>
          <w:rFonts w:ascii="Times New Roman" w:eastAsia="Times New Roman" w:hAnsi="Times New Roman" w:cs="Times New Roman"/>
        </w:rPr>
        <w:footnoteReference w:id="25"/>
      </w:r>
      <w:r w:rsidRPr="00320ADF">
        <w:rPr>
          <w:rFonts w:ascii="Times New Roman" w:eastAsia="Times New Roman" w:hAnsi="Times New Roman" w:cs="Times New Roman"/>
        </w:rPr>
        <w:t xml:space="preserve">  </w:t>
      </w:r>
      <w:r w:rsidR="00BE14A6" w:rsidRPr="00320ADF">
        <w:rPr>
          <w:rFonts w:ascii="Times New Roman" w:eastAsia="Times New Roman" w:hAnsi="Times New Roman" w:cs="Times New Roman"/>
        </w:rPr>
        <w:t>The first</w:t>
      </w:r>
      <w:r w:rsidR="00E96CBB">
        <w:rPr>
          <w:rFonts w:ascii="Times New Roman" w:eastAsia="Times New Roman" w:hAnsi="Times New Roman" w:cs="Times New Roman"/>
        </w:rPr>
        <w:t>-</w:t>
      </w:r>
      <w:r w:rsidR="00BE14A6" w:rsidRPr="00320ADF">
        <w:rPr>
          <w:rFonts w:ascii="Times New Roman" w:eastAsia="Times New Roman" w:hAnsi="Times New Roman" w:cs="Times New Roman"/>
        </w:rPr>
        <w:t>generation cases ended with</w:t>
      </w:r>
      <w:r w:rsidR="00166609" w:rsidRPr="00320ADF">
        <w:rPr>
          <w:rFonts w:ascii="Times New Roman" w:eastAsia="Times New Roman" w:hAnsi="Times New Roman" w:cs="Times New Roman"/>
        </w:rPr>
        <w:t>out</w:t>
      </w:r>
      <w:r w:rsidR="00BE14A6" w:rsidRPr="00320ADF">
        <w:rPr>
          <w:rFonts w:ascii="Times New Roman" w:eastAsia="Times New Roman" w:hAnsi="Times New Roman" w:cs="Times New Roman"/>
        </w:rPr>
        <w:t xml:space="preserve"> relief, either in the form of injunctive remedies or damages.</w:t>
      </w:r>
    </w:p>
    <w:p w:rsidR="00BE14A6" w:rsidRPr="00320ADF" w:rsidRDefault="00BE14A6" w:rsidP="00527B69">
      <w:pPr>
        <w:spacing w:line="480" w:lineRule="auto"/>
        <w:ind w:firstLine="720"/>
        <w:jc w:val="both"/>
        <w:rPr>
          <w:rFonts w:ascii="Times New Roman" w:eastAsia="Times New Roman" w:hAnsi="Times New Roman" w:cs="Times New Roman"/>
        </w:rPr>
      </w:pPr>
      <w:r w:rsidRPr="00320ADF">
        <w:rPr>
          <w:rFonts w:ascii="Times New Roman" w:eastAsia="Times New Roman" w:hAnsi="Times New Roman" w:cs="Times New Roman"/>
        </w:rPr>
        <w:t>The second</w:t>
      </w:r>
      <w:r w:rsidR="00E96CBB">
        <w:rPr>
          <w:rFonts w:ascii="Times New Roman" w:eastAsia="Times New Roman" w:hAnsi="Times New Roman" w:cs="Times New Roman"/>
        </w:rPr>
        <w:t>-</w:t>
      </w:r>
      <w:r w:rsidRPr="00320ADF">
        <w:rPr>
          <w:rFonts w:ascii="Times New Roman" w:eastAsia="Times New Roman" w:hAnsi="Times New Roman" w:cs="Times New Roman"/>
        </w:rPr>
        <w:t>generation cases</w:t>
      </w:r>
      <w:r w:rsidR="00166609" w:rsidRPr="00320ADF">
        <w:rPr>
          <w:rFonts w:ascii="Times New Roman" w:eastAsia="Times New Roman" w:hAnsi="Times New Roman" w:cs="Times New Roman"/>
        </w:rPr>
        <w:t xml:space="preserve">, now </w:t>
      </w:r>
      <w:r w:rsidR="00164D6B" w:rsidRPr="00320ADF">
        <w:rPr>
          <w:rFonts w:ascii="Times New Roman" w:eastAsia="Times New Roman" w:hAnsi="Times New Roman" w:cs="Times New Roman"/>
        </w:rPr>
        <w:t xml:space="preserve">numbering </w:t>
      </w:r>
      <w:r w:rsidR="00632382" w:rsidRPr="00320ADF">
        <w:rPr>
          <w:rFonts w:ascii="Times New Roman" w:eastAsia="Times New Roman" w:hAnsi="Times New Roman" w:cs="Times New Roman"/>
        </w:rPr>
        <w:t>over</w:t>
      </w:r>
      <w:r w:rsidR="00166609" w:rsidRPr="00320ADF">
        <w:rPr>
          <w:rFonts w:ascii="Times New Roman" w:eastAsia="Times New Roman" w:hAnsi="Times New Roman" w:cs="Times New Roman"/>
        </w:rPr>
        <w:t xml:space="preserve"> a dozen</w:t>
      </w:r>
      <w:r w:rsidR="005D59E9" w:rsidRPr="00320ADF">
        <w:rPr>
          <w:rFonts w:ascii="Times New Roman" w:eastAsia="Times New Roman" w:hAnsi="Times New Roman" w:cs="Times New Roman"/>
        </w:rPr>
        <w:t>,</w:t>
      </w:r>
      <w:r w:rsidRPr="00320ADF">
        <w:rPr>
          <w:rFonts w:ascii="Times New Roman" w:eastAsia="Times New Roman" w:hAnsi="Times New Roman" w:cs="Times New Roman"/>
        </w:rPr>
        <w:t xml:space="preserve"> were initiated in 2017</w:t>
      </w:r>
      <w:r w:rsidR="004337B8" w:rsidRPr="00320ADF">
        <w:rPr>
          <w:rFonts w:ascii="Times New Roman" w:eastAsia="Times New Roman" w:hAnsi="Times New Roman" w:cs="Times New Roman"/>
        </w:rPr>
        <w:t xml:space="preserve"> against fossil fuel producers.  </w:t>
      </w:r>
      <w:r w:rsidR="0050566D" w:rsidRPr="00320ADF">
        <w:rPr>
          <w:rFonts w:ascii="Times New Roman" w:eastAsia="Times New Roman" w:hAnsi="Times New Roman" w:cs="Times New Roman"/>
        </w:rPr>
        <w:t>They seek “disgorgement of profits</w:t>
      </w:r>
      <w:r w:rsidR="005D59E9" w:rsidRPr="00320ADF">
        <w:rPr>
          <w:rFonts w:ascii="Times New Roman" w:eastAsia="Times New Roman" w:hAnsi="Times New Roman" w:cs="Times New Roman"/>
        </w:rPr>
        <w:t>,</w:t>
      </w:r>
      <w:r w:rsidR="0050566D" w:rsidRPr="00320ADF">
        <w:rPr>
          <w:rFonts w:ascii="Times New Roman" w:eastAsia="Times New Roman" w:hAnsi="Times New Roman" w:cs="Times New Roman"/>
        </w:rPr>
        <w:t xml:space="preserve">” </w:t>
      </w:r>
      <w:r w:rsidR="005D59E9" w:rsidRPr="00320ADF">
        <w:rPr>
          <w:rFonts w:ascii="Times New Roman" w:eastAsia="Times New Roman" w:hAnsi="Times New Roman" w:cs="Times New Roman"/>
        </w:rPr>
        <w:t>or</w:t>
      </w:r>
      <w:r w:rsidR="00FE0EB7" w:rsidRPr="00320ADF">
        <w:rPr>
          <w:rFonts w:ascii="Times New Roman" w:eastAsia="Times New Roman" w:hAnsi="Times New Roman" w:cs="Times New Roman"/>
        </w:rPr>
        <w:t xml:space="preserve"> damages in unstated amounts</w:t>
      </w:r>
      <w:r w:rsidR="005D59E9" w:rsidRPr="00320ADF">
        <w:rPr>
          <w:rFonts w:ascii="Times New Roman" w:eastAsia="Times New Roman" w:hAnsi="Times New Roman" w:cs="Times New Roman"/>
        </w:rPr>
        <w:t>,</w:t>
      </w:r>
      <w:r w:rsidR="00FE0EB7" w:rsidRPr="00320ADF">
        <w:rPr>
          <w:rFonts w:ascii="Times New Roman" w:eastAsia="Times New Roman" w:hAnsi="Times New Roman" w:cs="Times New Roman"/>
        </w:rPr>
        <w:t xml:space="preserve"> </w:t>
      </w:r>
      <w:r w:rsidR="0050566D" w:rsidRPr="00320ADF">
        <w:rPr>
          <w:rFonts w:ascii="Times New Roman" w:eastAsia="Times New Roman" w:hAnsi="Times New Roman" w:cs="Times New Roman"/>
        </w:rPr>
        <w:t xml:space="preserve">from the fossil fuel defendants to fund various </w:t>
      </w:r>
      <w:r w:rsidR="00FE0EB7" w:rsidRPr="00320ADF">
        <w:rPr>
          <w:rFonts w:ascii="Times New Roman" w:eastAsia="Times New Roman" w:hAnsi="Times New Roman" w:cs="Times New Roman"/>
        </w:rPr>
        <w:t xml:space="preserve">municipal </w:t>
      </w:r>
      <w:r w:rsidR="0050566D" w:rsidRPr="00320ADF">
        <w:rPr>
          <w:rFonts w:ascii="Times New Roman" w:eastAsia="Times New Roman" w:hAnsi="Times New Roman" w:cs="Times New Roman"/>
        </w:rPr>
        <w:t xml:space="preserve">adaptation measures, such as replacement </w:t>
      </w:r>
      <w:r w:rsidR="00164D6B" w:rsidRPr="00320ADF">
        <w:rPr>
          <w:rFonts w:ascii="Times New Roman" w:eastAsia="Times New Roman" w:hAnsi="Times New Roman" w:cs="Times New Roman"/>
        </w:rPr>
        <w:t xml:space="preserve">of </w:t>
      </w:r>
      <w:r w:rsidR="0050566D" w:rsidRPr="00320ADF">
        <w:rPr>
          <w:rFonts w:ascii="Times New Roman" w:eastAsia="Times New Roman" w:hAnsi="Times New Roman" w:cs="Times New Roman"/>
        </w:rPr>
        <w:t xml:space="preserve">infrastructure and </w:t>
      </w:r>
      <w:r w:rsidR="00164D6B" w:rsidRPr="00320ADF">
        <w:rPr>
          <w:rFonts w:ascii="Times New Roman" w:eastAsia="Times New Roman" w:hAnsi="Times New Roman" w:cs="Times New Roman"/>
        </w:rPr>
        <w:t xml:space="preserve">construction of </w:t>
      </w:r>
      <w:r w:rsidR="0050566D" w:rsidRPr="00320ADF">
        <w:rPr>
          <w:rFonts w:ascii="Times New Roman" w:eastAsia="Times New Roman" w:hAnsi="Times New Roman" w:cs="Times New Roman"/>
        </w:rPr>
        <w:t>sea walls to hold back sea level rise.</w:t>
      </w:r>
      <w:r w:rsidR="0022780F" w:rsidRPr="00320ADF">
        <w:rPr>
          <w:rStyle w:val="FootnoteReference"/>
          <w:rFonts w:ascii="Times New Roman" w:eastAsia="Times New Roman" w:hAnsi="Times New Roman" w:cs="Times New Roman"/>
        </w:rPr>
        <w:footnoteReference w:id="26"/>
      </w:r>
      <w:r w:rsidR="0050566D" w:rsidRPr="00320ADF">
        <w:rPr>
          <w:rFonts w:ascii="Times New Roman" w:eastAsia="Times New Roman" w:hAnsi="Times New Roman" w:cs="Times New Roman"/>
        </w:rPr>
        <w:t xml:space="preserve">  </w:t>
      </w:r>
      <w:r w:rsidR="00B04DB7" w:rsidRPr="00320ADF">
        <w:rPr>
          <w:rFonts w:ascii="Times New Roman" w:eastAsia="Times New Roman" w:hAnsi="Times New Roman" w:cs="Times New Roman"/>
        </w:rPr>
        <w:t xml:space="preserve">Carefully </w:t>
      </w:r>
      <w:r w:rsidR="0050566D" w:rsidRPr="00320ADF">
        <w:rPr>
          <w:rFonts w:ascii="Times New Roman" w:eastAsia="Times New Roman" w:hAnsi="Times New Roman" w:cs="Times New Roman"/>
        </w:rPr>
        <w:t>crafted to</w:t>
      </w:r>
      <w:r w:rsidR="004337B8" w:rsidRPr="00320ADF">
        <w:rPr>
          <w:rFonts w:ascii="Times New Roman" w:eastAsia="Times New Roman" w:hAnsi="Times New Roman" w:cs="Times New Roman"/>
        </w:rPr>
        <w:t xml:space="preserve"> </w:t>
      </w:r>
      <w:r w:rsidR="009F1A49" w:rsidRPr="00320ADF">
        <w:rPr>
          <w:rFonts w:ascii="Times New Roman" w:eastAsia="Times New Roman" w:hAnsi="Times New Roman" w:cs="Times New Roman"/>
        </w:rPr>
        <w:t xml:space="preserve">avoid the </w:t>
      </w:r>
      <w:r w:rsidR="009F1A49" w:rsidRPr="00320ADF">
        <w:rPr>
          <w:rFonts w:ascii="Times New Roman" w:eastAsia="Times New Roman" w:hAnsi="Times New Roman" w:cs="Times New Roman"/>
          <w:i/>
          <w:iCs/>
        </w:rPr>
        <w:t>AEP</w:t>
      </w:r>
      <w:r w:rsidR="009F1A49" w:rsidRPr="00320ADF">
        <w:rPr>
          <w:rFonts w:ascii="Times New Roman" w:eastAsia="Times New Roman" w:hAnsi="Times New Roman" w:cs="Times New Roman"/>
        </w:rPr>
        <w:t xml:space="preserve"> displacement analysis</w:t>
      </w:r>
      <w:r w:rsidR="00FE0EB7" w:rsidRPr="00320ADF">
        <w:rPr>
          <w:rFonts w:ascii="Times New Roman" w:eastAsia="Times New Roman" w:hAnsi="Times New Roman" w:cs="Times New Roman"/>
        </w:rPr>
        <w:t xml:space="preserve"> that </w:t>
      </w:r>
      <w:r w:rsidR="005D59E9" w:rsidRPr="00320ADF">
        <w:rPr>
          <w:rFonts w:ascii="Times New Roman" w:eastAsia="Times New Roman" w:hAnsi="Times New Roman" w:cs="Times New Roman"/>
        </w:rPr>
        <w:t>defeated</w:t>
      </w:r>
      <w:r w:rsidR="00FE0EB7" w:rsidRPr="00320ADF">
        <w:rPr>
          <w:rFonts w:ascii="Times New Roman" w:eastAsia="Times New Roman" w:hAnsi="Times New Roman" w:cs="Times New Roman"/>
        </w:rPr>
        <w:t xml:space="preserve"> the first</w:t>
      </w:r>
      <w:r w:rsidR="00E96CBB">
        <w:rPr>
          <w:rFonts w:ascii="Times New Roman" w:eastAsia="Times New Roman" w:hAnsi="Times New Roman" w:cs="Times New Roman"/>
        </w:rPr>
        <w:t>-</w:t>
      </w:r>
      <w:r w:rsidR="00FE0EB7" w:rsidRPr="00320ADF">
        <w:rPr>
          <w:rFonts w:ascii="Times New Roman" w:eastAsia="Times New Roman" w:hAnsi="Times New Roman" w:cs="Times New Roman"/>
        </w:rPr>
        <w:t>generation suits</w:t>
      </w:r>
      <w:r w:rsidR="00B04DB7" w:rsidRPr="00320ADF">
        <w:rPr>
          <w:rFonts w:ascii="Times New Roman" w:eastAsia="Times New Roman" w:hAnsi="Times New Roman" w:cs="Times New Roman"/>
        </w:rPr>
        <w:t xml:space="preserve">, these cases assert </w:t>
      </w:r>
      <w:r w:rsidR="00843236" w:rsidRPr="00320ADF">
        <w:rPr>
          <w:rFonts w:ascii="Times New Roman" w:eastAsia="Times New Roman" w:hAnsi="Times New Roman" w:cs="Times New Roman"/>
        </w:rPr>
        <w:t>state (not federal) common law</w:t>
      </w:r>
      <w:r w:rsidR="00B04DB7" w:rsidRPr="00320ADF">
        <w:rPr>
          <w:rFonts w:ascii="Times New Roman" w:eastAsia="Times New Roman" w:hAnsi="Times New Roman" w:cs="Times New Roman"/>
        </w:rPr>
        <w:t xml:space="preserve"> claims.  </w:t>
      </w:r>
      <w:r w:rsidR="00843236" w:rsidRPr="00320ADF">
        <w:rPr>
          <w:rFonts w:ascii="Times New Roman" w:eastAsia="Times New Roman" w:hAnsi="Times New Roman" w:cs="Times New Roman"/>
        </w:rPr>
        <w:t xml:space="preserve"> </w:t>
      </w:r>
      <w:r w:rsidR="00B04DB7" w:rsidRPr="00320ADF">
        <w:rPr>
          <w:rFonts w:ascii="Times New Roman" w:eastAsia="Times New Roman" w:hAnsi="Times New Roman" w:cs="Times New Roman"/>
        </w:rPr>
        <w:t>Al</w:t>
      </w:r>
      <w:r w:rsidR="00843236" w:rsidRPr="00320ADF">
        <w:rPr>
          <w:rFonts w:ascii="Times New Roman" w:eastAsia="Times New Roman" w:hAnsi="Times New Roman" w:cs="Times New Roman"/>
        </w:rPr>
        <w:t>l</w:t>
      </w:r>
      <w:r w:rsidR="004337B8" w:rsidRPr="00320ADF">
        <w:rPr>
          <w:rFonts w:ascii="Times New Roman" w:eastAsia="Times New Roman" w:hAnsi="Times New Roman" w:cs="Times New Roman"/>
        </w:rPr>
        <w:t xml:space="preserve"> have a centerpiece public nuisance claim, and </w:t>
      </w:r>
      <w:r w:rsidR="0062459E" w:rsidRPr="00320ADF">
        <w:rPr>
          <w:rFonts w:ascii="Times New Roman" w:eastAsia="Times New Roman" w:hAnsi="Times New Roman" w:cs="Times New Roman"/>
        </w:rPr>
        <w:t>several</w:t>
      </w:r>
      <w:r w:rsidR="004337B8" w:rsidRPr="00320ADF">
        <w:rPr>
          <w:rFonts w:ascii="Times New Roman" w:eastAsia="Times New Roman" w:hAnsi="Times New Roman" w:cs="Times New Roman"/>
        </w:rPr>
        <w:t xml:space="preserve"> </w:t>
      </w:r>
      <w:r w:rsidR="00843236" w:rsidRPr="00320ADF">
        <w:rPr>
          <w:rFonts w:ascii="Times New Roman" w:eastAsia="Times New Roman" w:hAnsi="Times New Roman" w:cs="Times New Roman"/>
        </w:rPr>
        <w:t>present</w:t>
      </w:r>
      <w:r w:rsidR="004337B8" w:rsidRPr="00320ADF">
        <w:rPr>
          <w:rFonts w:ascii="Times New Roman" w:eastAsia="Times New Roman" w:hAnsi="Times New Roman" w:cs="Times New Roman"/>
        </w:rPr>
        <w:t xml:space="preserve"> </w:t>
      </w:r>
      <w:r w:rsidR="00843236" w:rsidRPr="00320ADF">
        <w:rPr>
          <w:rFonts w:ascii="Times New Roman" w:eastAsia="Times New Roman" w:hAnsi="Times New Roman" w:cs="Times New Roman"/>
        </w:rPr>
        <w:t>additional</w:t>
      </w:r>
      <w:r w:rsidR="004337B8" w:rsidRPr="00320ADF">
        <w:rPr>
          <w:rFonts w:ascii="Times New Roman" w:eastAsia="Times New Roman" w:hAnsi="Times New Roman" w:cs="Times New Roman"/>
        </w:rPr>
        <w:t xml:space="preserve"> claims sounding in product liability</w:t>
      </w:r>
      <w:r w:rsidR="005D59E9" w:rsidRPr="00320ADF">
        <w:rPr>
          <w:rFonts w:ascii="Times New Roman" w:eastAsia="Times New Roman" w:hAnsi="Times New Roman" w:cs="Times New Roman"/>
        </w:rPr>
        <w:t xml:space="preserve"> and</w:t>
      </w:r>
      <w:r w:rsidR="004337B8" w:rsidRPr="00320ADF">
        <w:rPr>
          <w:rFonts w:ascii="Times New Roman" w:eastAsia="Times New Roman" w:hAnsi="Times New Roman" w:cs="Times New Roman"/>
        </w:rPr>
        <w:t xml:space="preserve"> negligence</w:t>
      </w:r>
      <w:r w:rsidR="005D59E9" w:rsidRPr="00320ADF">
        <w:rPr>
          <w:rFonts w:ascii="Times New Roman" w:eastAsia="Times New Roman" w:hAnsi="Times New Roman" w:cs="Times New Roman"/>
        </w:rPr>
        <w:t>.</w:t>
      </w:r>
      <w:r w:rsidR="004337B8" w:rsidRPr="00320ADF">
        <w:rPr>
          <w:rFonts w:ascii="Times New Roman" w:eastAsia="Times New Roman" w:hAnsi="Times New Roman" w:cs="Times New Roman"/>
        </w:rPr>
        <w:t xml:space="preserve">  </w:t>
      </w:r>
      <w:r w:rsidR="00B04DB7" w:rsidRPr="00320ADF">
        <w:rPr>
          <w:rFonts w:ascii="Times New Roman" w:eastAsia="Times New Roman" w:hAnsi="Times New Roman" w:cs="Times New Roman"/>
        </w:rPr>
        <w:t xml:space="preserve">They cast </w:t>
      </w:r>
      <w:r w:rsidR="00D022F3" w:rsidRPr="00320ADF">
        <w:rPr>
          <w:rFonts w:ascii="Times New Roman" w:eastAsia="Times New Roman" w:hAnsi="Times New Roman" w:cs="Times New Roman"/>
        </w:rPr>
        <w:t>a broad moral indictment of the fossil fuel industry</w:t>
      </w:r>
      <w:r w:rsidR="00B04DB7" w:rsidRPr="00320ADF">
        <w:rPr>
          <w:rFonts w:ascii="Times New Roman" w:eastAsia="Times New Roman" w:hAnsi="Times New Roman" w:cs="Times New Roman"/>
        </w:rPr>
        <w:t xml:space="preserve"> by</w:t>
      </w:r>
      <w:r w:rsidR="0062459E" w:rsidRPr="00320ADF">
        <w:rPr>
          <w:rFonts w:ascii="Times New Roman" w:eastAsia="Times New Roman" w:hAnsi="Times New Roman" w:cs="Times New Roman"/>
        </w:rPr>
        <w:t xml:space="preserve"> </w:t>
      </w:r>
      <w:r w:rsidR="00D022F3" w:rsidRPr="00320ADF">
        <w:rPr>
          <w:rFonts w:ascii="Times New Roman" w:eastAsia="Times New Roman" w:hAnsi="Times New Roman" w:cs="Times New Roman"/>
        </w:rPr>
        <w:t>present</w:t>
      </w:r>
      <w:r w:rsidR="00B04DB7" w:rsidRPr="00320ADF">
        <w:rPr>
          <w:rFonts w:ascii="Times New Roman" w:eastAsia="Times New Roman" w:hAnsi="Times New Roman" w:cs="Times New Roman"/>
        </w:rPr>
        <w:t>ing</w:t>
      </w:r>
      <w:r w:rsidR="00D022F3" w:rsidRPr="00320ADF">
        <w:rPr>
          <w:rFonts w:ascii="Times New Roman" w:eastAsia="Times New Roman" w:hAnsi="Times New Roman" w:cs="Times New Roman"/>
        </w:rPr>
        <w:t xml:space="preserve"> </w:t>
      </w:r>
      <w:r w:rsidR="003A0DA8" w:rsidRPr="00320ADF">
        <w:rPr>
          <w:rFonts w:ascii="Times New Roman" w:eastAsia="Times New Roman" w:hAnsi="Times New Roman" w:cs="Times New Roman"/>
        </w:rPr>
        <w:t>j</w:t>
      </w:r>
      <w:r w:rsidR="0050566D" w:rsidRPr="00320ADF">
        <w:rPr>
          <w:rFonts w:ascii="Times New Roman" w:eastAsia="Times New Roman" w:hAnsi="Times New Roman" w:cs="Times New Roman"/>
        </w:rPr>
        <w:t>aw-dropping</w:t>
      </w:r>
      <w:r w:rsidR="00D022F3" w:rsidRPr="00320ADF">
        <w:rPr>
          <w:rFonts w:ascii="Times New Roman" w:eastAsia="Times New Roman" w:hAnsi="Times New Roman" w:cs="Times New Roman"/>
        </w:rPr>
        <w:t xml:space="preserve"> factual </w:t>
      </w:r>
      <w:r w:rsidR="0050566D" w:rsidRPr="00320ADF">
        <w:rPr>
          <w:rFonts w:ascii="Times New Roman" w:eastAsia="Times New Roman" w:hAnsi="Times New Roman" w:cs="Times New Roman"/>
        </w:rPr>
        <w:t>characterization</w:t>
      </w:r>
      <w:r w:rsidR="00E96CBB">
        <w:rPr>
          <w:rFonts w:ascii="Times New Roman" w:eastAsia="Times New Roman" w:hAnsi="Times New Roman" w:cs="Times New Roman"/>
        </w:rPr>
        <w:t>s</w:t>
      </w:r>
      <w:r w:rsidR="0050566D" w:rsidRPr="00320ADF">
        <w:rPr>
          <w:rFonts w:ascii="Times New Roman" w:eastAsia="Times New Roman" w:hAnsi="Times New Roman" w:cs="Times New Roman"/>
        </w:rPr>
        <w:t xml:space="preserve"> of what the </w:t>
      </w:r>
      <w:r w:rsidR="0050566D" w:rsidRPr="00320ADF">
        <w:rPr>
          <w:rFonts w:ascii="Times New Roman" w:eastAsia="Times New Roman" w:hAnsi="Times New Roman" w:cs="Times New Roman"/>
        </w:rPr>
        <w:lastRenderedPageBreak/>
        <w:t xml:space="preserve">companies knew </w:t>
      </w:r>
      <w:r w:rsidR="003A0DA8" w:rsidRPr="00320ADF">
        <w:rPr>
          <w:rFonts w:ascii="Times New Roman" w:eastAsia="Times New Roman" w:hAnsi="Times New Roman" w:cs="Times New Roman"/>
        </w:rPr>
        <w:t>would be</w:t>
      </w:r>
      <w:r w:rsidR="005D59E9" w:rsidRPr="00320ADF">
        <w:rPr>
          <w:rFonts w:ascii="Times New Roman" w:eastAsia="Times New Roman" w:hAnsi="Times New Roman" w:cs="Times New Roman"/>
        </w:rPr>
        <w:t xml:space="preserve"> the damage</w:t>
      </w:r>
      <w:r w:rsidR="003A0DA8" w:rsidRPr="00320ADF">
        <w:rPr>
          <w:rFonts w:ascii="Times New Roman" w:eastAsia="Times New Roman" w:hAnsi="Times New Roman" w:cs="Times New Roman"/>
        </w:rPr>
        <w:t xml:space="preserve"> likely</w:t>
      </w:r>
      <w:r w:rsidR="0050566D" w:rsidRPr="00320ADF">
        <w:rPr>
          <w:rFonts w:ascii="Times New Roman" w:eastAsia="Times New Roman" w:hAnsi="Times New Roman" w:cs="Times New Roman"/>
        </w:rPr>
        <w:t xml:space="preserve"> set in motion by </w:t>
      </w:r>
      <w:r w:rsidR="00D022F3" w:rsidRPr="00320ADF">
        <w:rPr>
          <w:rFonts w:ascii="Times New Roman" w:eastAsia="Times New Roman" w:hAnsi="Times New Roman" w:cs="Times New Roman"/>
        </w:rPr>
        <w:t xml:space="preserve">their </w:t>
      </w:r>
      <w:r w:rsidR="0050566D" w:rsidRPr="00320ADF">
        <w:rPr>
          <w:rFonts w:ascii="Times New Roman" w:eastAsia="Times New Roman" w:hAnsi="Times New Roman" w:cs="Times New Roman"/>
        </w:rPr>
        <w:t xml:space="preserve">continued fossil fuel production. </w:t>
      </w:r>
      <w:r w:rsidR="00FE0EB7" w:rsidRPr="00320ADF">
        <w:rPr>
          <w:rFonts w:ascii="Times New Roman" w:eastAsia="Times New Roman" w:hAnsi="Times New Roman" w:cs="Times New Roman"/>
        </w:rPr>
        <w:t xml:space="preserve"> </w:t>
      </w:r>
      <w:r w:rsidR="00843236" w:rsidRPr="00320ADF">
        <w:rPr>
          <w:rFonts w:ascii="Times New Roman" w:eastAsia="Times New Roman" w:hAnsi="Times New Roman" w:cs="Times New Roman"/>
        </w:rPr>
        <w:t xml:space="preserve">Nevertheless, </w:t>
      </w:r>
      <w:r w:rsidR="0062459E" w:rsidRPr="00320ADF">
        <w:rPr>
          <w:rFonts w:ascii="Times New Roman" w:eastAsia="Times New Roman" w:hAnsi="Times New Roman" w:cs="Times New Roman"/>
        </w:rPr>
        <w:t>federal courts have dismissed two</w:t>
      </w:r>
      <w:r w:rsidRPr="00320ADF">
        <w:rPr>
          <w:rFonts w:ascii="Times New Roman" w:eastAsia="Times New Roman" w:hAnsi="Times New Roman" w:cs="Times New Roman"/>
        </w:rPr>
        <w:t xml:space="preserve"> key cases</w:t>
      </w:r>
      <w:r w:rsidR="004E1E85" w:rsidRPr="00320ADF">
        <w:rPr>
          <w:rFonts w:ascii="Times New Roman" w:eastAsia="Times New Roman" w:hAnsi="Times New Roman" w:cs="Times New Roman"/>
        </w:rPr>
        <w:t xml:space="preserve"> on grounds of displacement and political question</w:t>
      </w:r>
      <w:r w:rsidR="0062459E" w:rsidRPr="00320ADF">
        <w:rPr>
          <w:rFonts w:ascii="Times New Roman" w:eastAsia="Times New Roman" w:hAnsi="Times New Roman" w:cs="Times New Roman"/>
        </w:rPr>
        <w:t xml:space="preserve">; </w:t>
      </w:r>
      <w:r w:rsidR="004E1E85" w:rsidRPr="00320ADF">
        <w:rPr>
          <w:rFonts w:ascii="Times New Roman" w:eastAsia="Times New Roman" w:hAnsi="Times New Roman" w:cs="Times New Roman"/>
        </w:rPr>
        <w:t>both are on appeal</w:t>
      </w:r>
      <w:r w:rsidR="009F1A49" w:rsidRPr="00320ADF">
        <w:rPr>
          <w:rFonts w:ascii="Times New Roman" w:eastAsia="Times New Roman" w:hAnsi="Times New Roman" w:cs="Times New Roman"/>
        </w:rPr>
        <w:t>.</w:t>
      </w:r>
      <w:r w:rsidR="00A66A16">
        <w:rPr>
          <w:rStyle w:val="FootnoteReference"/>
          <w:rFonts w:ascii="Times New Roman" w:eastAsia="Times New Roman" w:hAnsi="Times New Roman" w:cs="Times New Roman"/>
        </w:rPr>
        <w:footnoteReference w:id="27"/>
      </w:r>
      <w:r w:rsidR="009F1A49" w:rsidRPr="00320ADF">
        <w:rPr>
          <w:rFonts w:ascii="Times New Roman" w:eastAsia="Times New Roman" w:hAnsi="Times New Roman" w:cs="Times New Roman"/>
        </w:rPr>
        <w:t xml:space="preserve">  As Katrina </w:t>
      </w:r>
      <w:proofErr w:type="spellStart"/>
      <w:r w:rsidR="009F1A49" w:rsidRPr="00320ADF">
        <w:rPr>
          <w:rFonts w:ascii="Times New Roman" w:eastAsia="Times New Roman" w:hAnsi="Times New Roman" w:cs="Times New Roman"/>
        </w:rPr>
        <w:t>K</w:t>
      </w:r>
      <w:r w:rsidR="001164E3">
        <w:rPr>
          <w:rFonts w:ascii="Times New Roman" w:eastAsia="Times New Roman" w:hAnsi="Times New Roman" w:cs="Times New Roman"/>
        </w:rPr>
        <w:t>u</w:t>
      </w:r>
      <w:r w:rsidR="009F1A49" w:rsidRPr="00320ADF">
        <w:rPr>
          <w:rFonts w:ascii="Times New Roman" w:eastAsia="Times New Roman" w:hAnsi="Times New Roman" w:cs="Times New Roman"/>
        </w:rPr>
        <w:t>h</w:t>
      </w:r>
      <w:proofErr w:type="spellEnd"/>
      <w:r w:rsidR="009F1A49" w:rsidRPr="00320ADF">
        <w:rPr>
          <w:rFonts w:ascii="Times New Roman" w:eastAsia="Times New Roman" w:hAnsi="Times New Roman" w:cs="Times New Roman"/>
        </w:rPr>
        <w:t xml:space="preserve"> observes in her summary of the field, “</w:t>
      </w:r>
      <w:r w:rsidR="009F1A49" w:rsidRPr="00320ADF">
        <w:rPr>
          <w:rFonts w:ascii="Times New Roman" w:hAnsi="Times New Roman" w:cs="Times New Roman"/>
        </w:rPr>
        <w:t>So far, the second-generation common law nuisance suits are struggling, as their predecessors did, to convince courts to open their doors to the merits of their claims.”</w:t>
      </w:r>
      <w:r w:rsidR="005D626C" w:rsidRPr="00320ADF">
        <w:rPr>
          <w:rStyle w:val="FootnoteReference"/>
          <w:rFonts w:ascii="Times New Roman" w:hAnsi="Times New Roman" w:cs="Times New Roman"/>
        </w:rPr>
        <w:footnoteReference w:id="28"/>
      </w:r>
    </w:p>
    <w:p w:rsidR="00C83ECA" w:rsidRPr="00320ADF" w:rsidRDefault="009C4BC5" w:rsidP="00527B69">
      <w:pPr>
        <w:spacing w:line="480" w:lineRule="auto"/>
        <w:ind w:firstLine="720"/>
        <w:jc w:val="both"/>
        <w:rPr>
          <w:rFonts w:ascii="Times New Roman" w:hAnsi="Times New Roman" w:cs="Times New Roman"/>
        </w:rPr>
      </w:pPr>
      <w:r w:rsidRPr="00320ADF">
        <w:rPr>
          <w:rFonts w:ascii="Times New Roman" w:hAnsi="Times New Roman" w:cs="Times New Roman"/>
        </w:rPr>
        <w:t xml:space="preserve">The atmospheric natural resource damage action presented in this chapter must be </w:t>
      </w:r>
      <w:r w:rsidR="003935E9" w:rsidRPr="00320ADF">
        <w:rPr>
          <w:rFonts w:ascii="Times New Roman" w:hAnsi="Times New Roman" w:cs="Times New Roman"/>
        </w:rPr>
        <w:t xml:space="preserve">clearly </w:t>
      </w:r>
      <w:r w:rsidRPr="00320ADF">
        <w:rPr>
          <w:rFonts w:ascii="Times New Roman" w:hAnsi="Times New Roman" w:cs="Times New Roman"/>
        </w:rPr>
        <w:t xml:space="preserve">distinguished </w:t>
      </w:r>
      <w:r w:rsidR="00F943BD" w:rsidRPr="00320ADF">
        <w:rPr>
          <w:rFonts w:ascii="Times New Roman" w:hAnsi="Times New Roman" w:cs="Times New Roman"/>
        </w:rPr>
        <w:t>from the</w:t>
      </w:r>
      <w:r w:rsidR="00C07347" w:rsidRPr="00320ADF">
        <w:rPr>
          <w:rFonts w:ascii="Times New Roman" w:hAnsi="Times New Roman" w:cs="Times New Roman"/>
        </w:rPr>
        <w:t>se</w:t>
      </w:r>
      <w:r w:rsidR="00F943BD" w:rsidRPr="00320ADF">
        <w:rPr>
          <w:rFonts w:ascii="Times New Roman" w:hAnsi="Times New Roman" w:cs="Times New Roman"/>
        </w:rPr>
        <w:t xml:space="preserve"> second</w:t>
      </w:r>
      <w:r w:rsidR="00E96CBB">
        <w:rPr>
          <w:rFonts w:ascii="Times New Roman" w:hAnsi="Times New Roman" w:cs="Times New Roman"/>
        </w:rPr>
        <w:t>-</w:t>
      </w:r>
      <w:r w:rsidR="00F943BD" w:rsidRPr="00320ADF">
        <w:rPr>
          <w:rFonts w:ascii="Times New Roman" w:hAnsi="Times New Roman" w:cs="Times New Roman"/>
        </w:rPr>
        <w:t xml:space="preserve">generation climate liability suits.  Though both seek damages, they </w:t>
      </w:r>
      <w:r w:rsidR="00E00701" w:rsidRPr="00320ADF">
        <w:rPr>
          <w:rFonts w:ascii="Times New Roman" w:hAnsi="Times New Roman" w:cs="Times New Roman"/>
        </w:rPr>
        <w:t>remain</w:t>
      </w:r>
      <w:r w:rsidR="00F943BD" w:rsidRPr="00320ADF">
        <w:rPr>
          <w:rFonts w:ascii="Times New Roman" w:hAnsi="Times New Roman" w:cs="Times New Roman"/>
        </w:rPr>
        <w:t xml:space="preserve"> </w:t>
      </w:r>
      <w:r w:rsidR="00164D6B" w:rsidRPr="00320ADF">
        <w:rPr>
          <w:rFonts w:ascii="Times New Roman" w:hAnsi="Times New Roman" w:cs="Times New Roman"/>
        </w:rPr>
        <w:t>fundamentally different in purpose</w:t>
      </w:r>
      <w:r w:rsidR="00644DC1" w:rsidRPr="00320ADF">
        <w:rPr>
          <w:rFonts w:ascii="Times New Roman" w:hAnsi="Times New Roman" w:cs="Times New Roman"/>
        </w:rPr>
        <w:t xml:space="preserve">.  The second-generation climate suits </w:t>
      </w:r>
      <w:r w:rsidR="003935E9" w:rsidRPr="00320ADF">
        <w:rPr>
          <w:rFonts w:ascii="Times New Roman" w:hAnsi="Times New Roman" w:cs="Times New Roman"/>
        </w:rPr>
        <w:t>aim</w:t>
      </w:r>
      <w:r w:rsidR="00644DC1" w:rsidRPr="00320ADF">
        <w:rPr>
          <w:rFonts w:ascii="Times New Roman" w:hAnsi="Times New Roman" w:cs="Times New Roman"/>
        </w:rPr>
        <w:t xml:space="preserve"> to fund adaptation</w:t>
      </w:r>
      <w:r w:rsidR="005E1393" w:rsidRPr="00320ADF">
        <w:rPr>
          <w:rFonts w:ascii="Times New Roman" w:hAnsi="Times New Roman" w:cs="Times New Roman"/>
        </w:rPr>
        <w:t xml:space="preserve">, </w:t>
      </w:r>
      <w:r w:rsidR="001A426F" w:rsidRPr="00320ADF">
        <w:rPr>
          <w:rFonts w:ascii="Times New Roman" w:hAnsi="Times New Roman" w:cs="Times New Roman"/>
        </w:rPr>
        <w:t>compensating</w:t>
      </w:r>
      <w:r w:rsidR="005E1393" w:rsidRPr="00320ADF">
        <w:rPr>
          <w:rFonts w:ascii="Times New Roman" w:hAnsi="Times New Roman" w:cs="Times New Roman"/>
        </w:rPr>
        <w:t xml:space="preserve"> sovereigns for the costs </w:t>
      </w:r>
      <w:r w:rsidR="00C07347" w:rsidRPr="00320ADF">
        <w:rPr>
          <w:rFonts w:ascii="Times New Roman" w:hAnsi="Times New Roman" w:cs="Times New Roman"/>
        </w:rPr>
        <w:t xml:space="preserve">of responding to </w:t>
      </w:r>
      <w:r w:rsidR="005E1393" w:rsidRPr="00320ADF">
        <w:rPr>
          <w:rFonts w:ascii="Times New Roman" w:hAnsi="Times New Roman" w:cs="Times New Roman"/>
        </w:rPr>
        <w:t xml:space="preserve">climate disruption.  </w:t>
      </w:r>
      <w:r w:rsidR="00E00701" w:rsidRPr="00320ADF">
        <w:rPr>
          <w:rFonts w:ascii="Times New Roman" w:hAnsi="Times New Roman" w:cs="Times New Roman"/>
        </w:rPr>
        <w:t>Th</w:t>
      </w:r>
      <w:r w:rsidR="008756A1">
        <w:rPr>
          <w:rFonts w:ascii="Times New Roman" w:hAnsi="Times New Roman" w:cs="Times New Roman"/>
        </w:rPr>
        <w:t>is</w:t>
      </w:r>
      <w:r w:rsidR="00E00701" w:rsidRPr="00320ADF">
        <w:rPr>
          <w:rFonts w:ascii="Times New Roman" w:hAnsi="Times New Roman" w:cs="Times New Roman"/>
        </w:rPr>
        <w:t xml:space="preserve"> purpose carries</w:t>
      </w:r>
      <w:r w:rsidR="00CA653A" w:rsidRPr="00320ADF">
        <w:rPr>
          <w:rFonts w:ascii="Times New Roman" w:hAnsi="Times New Roman" w:cs="Times New Roman"/>
        </w:rPr>
        <w:t xml:space="preserve"> two </w:t>
      </w:r>
      <w:r w:rsidR="001A426F" w:rsidRPr="00320ADF">
        <w:rPr>
          <w:rFonts w:ascii="Times New Roman" w:hAnsi="Times New Roman" w:cs="Times New Roman"/>
        </w:rPr>
        <w:t>drawbacks</w:t>
      </w:r>
      <w:r w:rsidR="00CA653A" w:rsidRPr="00320ADF">
        <w:rPr>
          <w:rFonts w:ascii="Times New Roman" w:hAnsi="Times New Roman" w:cs="Times New Roman"/>
        </w:rPr>
        <w:t xml:space="preserve">.  </w:t>
      </w:r>
      <w:r w:rsidR="00F943BD" w:rsidRPr="00320ADF">
        <w:rPr>
          <w:rFonts w:ascii="Times New Roman" w:hAnsi="Times New Roman" w:cs="Times New Roman"/>
        </w:rPr>
        <w:t xml:space="preserve">First, </w:t>
      </w:r>
      <w:r w:rsidR="00E00701" w:rsidRPr="00320ADF">
        <w:rPr>
          <w:rFonts w:ascii="Times New Roman" w:hAnsi="Times New Roman" w:cs="Times New Roman"/>
        </w:rPr>
        <w:t>it</w:t>
      </w:r>
      <w:r w:rsidR="001A426F" w:rsidRPr="00320ADF">
        <w:rPr>
          <w:rFonts w:ascii="Times New Roman" w:hAnsi="Times New Roman" w:cs="Times New Roman"/>
        </w:rPr>
        <w:t xml:space="preserve"> </w:t>
      </w:r>
      <w:r w:rsidR="00F943BD" w:rsidRPr="00320ADF">
        <w:rPr>
          <w:rFonts w:ascii="Times New Roman" w:hAnsi="Times New Roman" w:cs="Times New Roman"/>
        </w:rPr>
        <w:t>conjures</w:t>
      </w:r>
      <w:r w:rsidR="001A426F" w:rsidRPr="00320ADF">
        <w:rPr>
          <w:rFonts w:ascii="Times New Roman" w:hAnsi="Times New Roman" w:cs="Times New Roman"/>
        </w:rPr>
        <w:t xml:space="preserve"> a</w:t>
      </w:r>
      <w:r w:rsidR="00E00701" w:rsidRPr="00320ADF">
        <w:rPr>
          <w:rFonts w:ascii="Times New Roman" w:hAnsi="Times New Roman" w:cs="Times New Roman"/>
        </w:rPr>
        <w:t xml:space="preserve"> fundamental</w:t>
      </w:r>
      <w:r w:rsidR="001A426F" w:rsidRPr="00320ADF">
        <w:rPr>
          <w:rFonts w:ascii="Times New Roman" w:hAnsi="Times New Roman" w:cs="Times New Roman"/>
        </w:rPr>
        <w:t xml:space="preserve"> equity problem. </w:t>
      </w:r>
      <w:r w:rsidR="00CA653A" w:rsidRPr="00320ADF">
        <w:rPr>
          <w:rFonts w:ascii="Times New Roman" w:hAnsi="Times New Roman" w:cs="Times New Roman"/>
        </w:rPr>
        <w:t xml:space="preserve">  </w:t>
      </w:r>
      <w:r w:rsidR="005E1393" w:rsidRPr="00320ADF">
        <w:rPr>
          <w:rFonts w:ascii="Times New Roman" w:hAnsi="Times New Roman" w:cs="Times New Roman"/>
        </w:rPr>
        <w:t>C</w:t>
      </w:r>
      <w:r w:rsidR="00CA653A" w:rsidRPr="00320ADF">
        <w:rPr>
          <w:rFonts w:ascii="Times New Roman" w:hAnsi="Times New Roman" w:cs="Times New Roman"/>
        </w:rPr>
        <w:t xml:space="preserve">limate </w:t>
      </w:r>
      <w:r w:rsidR="005E1393" w:rsidRPr="00320ADF">
        <w:rPr>
          <w:rFonts w:ascii="Times New Roman" w:hAnsi="Times New Roman" w:cs="Times New Roman"/>
        </w:rPr>
        <w:t xml:space="preserve">harms </w:t>
      </w:r>
      <w:r w:rsidR="000948BD" w:rsidRPr="00320ADF">
        <w:rPr>
          <w:rFonts w:ascii="Times New Roman" w:hAnsi="Times New Roman" w:cs="Times New Roman"/>
        </w:rPr>
        <w:t>now</w:t>
      </w:r>
      <w:r w:rsidR="005E1393" w:rsidRPr="00320ADF">
        <w:rPr>
          <w:rFonts w:ascii="Times New Roman" w:hAnsi="Times New Roman" w:cs="Times New Roman"/>
        </w:rPr>
        <w:t xml:space="preserve"> pummel</w:t>
      </w:r>
      <w:r w:rsidR="00CA653A" w:rsidRPr="00320ADF">
        <w:rPr>
          <w:rFonts w:ascii="Times New Roman" w:hAnsi="Times New Roman" w:cs="Times New Roman"/>
        </w:rPr>
        <w:t xml:space="preserve"> every corner of the world, </w:t>
      </w:r>
      <w:r w:rsidR="00F943BD" w:rsidRPr="00320ADF">
        <w:rPr>
          <w:rFonts w:ascii="Times New Roman" w:hAnsi="Times New Roman" w:cs="Times New Roman"/>
        </w:rPr>
        <w:t>saddling</w:t>
      </w:r>
      <w:r w:rsidR="00E00701" w:rsidRPr="00320ADF">
        <w:rPr>
          <w:rFonts w:ascii="Times New Roman" w:hAnsi="Times New Roman" w:cs="Times New Roman"/>
        </w:rPr>
        <w:t xml:space="preserve"> </w:t>
      </w:r>
      <w:r w:rsidR="003A0DA8" w:rsidRPr="00320ADF">
        <w:rPr>
          <w:rFonts w:ascii="Times New Roman" w:hAnsi="Times New Roman" w:cs="Times New Roman"/>
        </w:rPr>
        <w:t xml:space="preserve">virtually </w:t>
      </w:r>
      <w:r w:rsidR="00E00701" w:rsidRPr="00320ADF">
        <w:rPr>
          <w:rFonts w:ascii="Times New Roman" w:hAnsi="Times New Roman" w:cs="Times New Roman"/>
        </w:rPr>
        <w:t>all</w:t>
      </w:r>
      <w:r w:rsidR="003A0DA8" w:rsidRPr="00320ADF">
        <w:rPr>
          <w:rFonts w:ascii="Times New Roman" w:hAnsi="Times New Roman" w:cs="Times New Roman"/>
        </w:rPr>
        <w:t xml:space="preserve"> communit</w:t>
      </w:r>
      <w:r w:rsidR="00E00701" w:rsidRPr="00320ADF">
        <w:rPr>
          <w:rFonts w:ascii="Times New Roman" w:hAnsi="Times New Roman" w:cs="Times New Roman"/>
        </w:rPr>
        <w:t>ies</w:t>
      </w:r>
      <w:r w:rsidR="00F943BD" w:rsidRPr="00320ADF">
        <w:rPr>
          <w:rFonts w:ascii="Times New Roman" w:hAnsi="Times New Roman" w:cs="Times New Roman"/>
        </w:rPr>
        <w:t xml:space="preserve"> with soaring costs.</w:t>
      </w:r>
      <w:r w:rsidR="00CA653A" w:rsidRPr="00320ADF">
        <w:rPr>
          <w:rFonts w:ascii="Times New Roman" w:hAnsi="Times New Roman" w:cs="Times New Roman"/>
        </w:rPr>
        <w:t xml:space="preserve">  The fossil fuel industry</w:t>
      </w:r>
      <w:r w:rsidR="005E1393" w:rsidRPr="00320ADF">
        <w:rPr>
          <w:rFonts w:ascii="Times New Roman" w:hAnsi="Times New Roman" w:cs="Times New Roman"/>
        </w:rPr>
        <w:t xml:space="preserve"> -- </w:t>
      </w:r>
      <w:r w:rsidR="00CA653A" w:rsidRPr="00320ADF">
        <w:rPr>
          <w:rFonts w:ascii="Times New Roman" w:hAnsi="Times New Roman" w:cs="Times New Roman"/>
        </w:rPr>
        <w:t>even despite its vast holdings</w:t>
      </w:r>
      <w:r w:rsidR="005E1393" w:rsidRPr="00320ADF">
        <w:rPr>
          <w:rFonts w:ascii="Times New Roman" w:hAnsi="Times New Roman" w:cs="Times New Roman"/>
        </w:rPr>
        <w:t xml:space="preserve"> --</w:t>
      </w:r>
      <w:r w:rsidR="00CA653A" w:rsidRPr="00320ADF">
        <w:rPr>
          <w:rFonts w:ascii="Times New Roman" w:hAnsi="Times New Roman" w:cs="Times New Roman"/>
        </w:rPr>
        <w:t xml:space="preserve"> will not be able to pay for </w:t>
      </w:r>
      <w:r w:rsidR="005E1393" w:rsidRPr="00320ADF">
        <w:rPr>
          <w:rFonts w:ascii="Times New Roman" w:hAnsi="Times New Roman" w:cs="Times New Roman"/>
        </w:rPr>
        <w:t xml:space="preserve">all of </w:t>
      </w:r>
      <w:r w:rsidR="00CA653A" w:rsidRPr="00320ADF">
        <w:rPr>
          <w:rFonts w:ascii="Times New Roman" w:hAnsi="Times New Roman" w:cs="Times New Roman"/>
        </w:rPr>
        <w:t xml:space="preserve">the damage it has unleashed onto the world.  If these American lawsuits win, they will drain the bank for the benefit of </w:t>
      </w:r>
      <w:r w:rsidR="00F943BD" w:rsidRPr="00320ADF">
        <w:rPr>
          <w:rFonts w:ascii="Times New Roman" w:hAnsi="Times New Roman" w:cs="Times New Roman"/>
        </w:rPr>
        <w:t xml:space="preserve">a </w:t>
      </w:r>
      <w:r w:rsidR="00CA653A" w:rsidRPr="00320ADF">
        <w:rPr>
          <w:rFonts w:ascii="Times New Roman" w:hAnsi="Times New Roman" w:cs="Times New Roman"/>
        </w:rPr>
        <w:t>few municipal litigants who positioned themselves first in line in the court system</w:t>
      </w:r>
      <w:r w:rsidR="005E1393" w:rsidRPr="00320ADF">
        <w:rPr>
          <w:rFonts w:ascii="Times New Roman" w:hAnsi="Times New Roman" w:cs="Times New Roman"/>
        </w:rPr>
        <w:t>, leaving the great bulk of communities with no compensation</w:t>
      </w:r>
      <w:r w:rsidR="00CA653A" w:rsidRPr="00320ADF">
        <w:rPr>
          <w:rFonts w:ascii="Times New Roman" w:hAnsi="Times New Roman" w:cs="Times New Roman"/>
        </w:rPr>
        <w:t>.  Second, the remedy does nothing to solve the climate crisis</w:t>
      </w:r>
      <w:r w:rsidR="00F943BD" w:rsidRPr="00320ADF">
        <w:rPr>
          <w:rFonts w:ascii="Times New Roman" w:hAnsi="Times New Roman" w:cs="Times New Roman"/>
        </w:rPr>
        <w:t xml:space="preserve">, because it </w:t>
      </w:r>
      <w:r w:rsidR="00CA653A" w:rsidRPr="00320ADF">
        <w:rPr>
          <w:rFonts w:ascii="Times New Roman" w:hAnsi="Times New Roman" w:cs="Times New Roman"/>
        </w:rPr>
        <w:t xml:space="preserve">does not put a </w:t>
      </w:r>
      <w:r w:rsidR="003A0DB5" w:rsidRPr="00320ADF">
        <w:rPr>
          <w:rFonts w:ascii="Times New Roman" w:hAnsi="Times New Roman" w:cs="Times New Roman"/>
        </w:rPr>
        <w:t>dime</w:t>
      </w:r>
      <w:r w:rsidR="00CA653A" w:rsidRPr="00320ADF">
        <w:rPr>
          <w:rFonts w:ascii="Times New Roman" w:hAnsi="Times New Roman" w:cs="Times New Roman"/>
        </w:rPr>
        <w:t xml:space="preserve"> into cleaning up the atmosphere.  Until excess carbon is removed from the atmosphere, the climate emergency will continue to </w:t>
      </w:r>
      <w:r w:rsidR="004546D0" w:rsidRPr="00320ADF">
        <w:rPr>
          <w:rFonts w:ascii="Times New Roman" w:hAnsi="Times New Roman" w:cs="Times New Roman"/>
        </w:rPr>
        <w:t xml:space="preserve">intensify until it </w:t>
      </w:r>
      <w:r w:rsidR="003A0DB5" w:rsidRPr="00320ADF">
        <w:rPr>
          <w:rFonts w:ascii="Times New Roman" w:hAnsi="Times New Roman" w:cs="Times New Roman"/>
        </w:rPr>
        <w:t>brings</w:t>
      </w:r>
      <w:r w:rsidR="00C83ECA" w:rsidRPr="00320ADF">
        <w:rPr>
          <w:rFonts w:ascii="Times New Roman" w:hAnsi="Times New Roman" w:cs="Times New Roman"/>
        </w:rPr>
        <w:t xml:space="preserve"> </w:t>
      </w:r>
      <w:r w:rsidR="004546D0" w:rsidRPr="00320ADF">
        <w:rPr>
          <w:rFonts w:ascii="Times New Roman" w:hAnsi="Times New Roman" w:cs="Times New Roman"/>
        </w:rPr>
        <w:t>universal</w:t>
      </w:r>
      <w:r w:rsidR="00CA653A" w:rsidRPr="00320ADF">
        <w:rPr>
          <w:rFonts w:ascii="Times New Roman" w:hAnsi="Times New Roman" w:cs="Times New Roman"/>
        </w:rPr>
        <w:t xml:space="preserve"> chaos and community collapse </w:t>
      </w:r>
      <w:r w:rsidR="0040468B" w:rsidRPr="00320ADF">
        <w:rPr>
          <w:rFonts w:ascii="Times New Roman" w:hAnsi="Times New Roman" w:cs="Times New Roman"/>
        </w:rPr>
        <w:t>world-wide</w:t>
      </w:r>
      <w:r w:rsidR="00CA653A" w:rsidRPr="00320ADF">
        <w:rPr>
          <w:rFonts w:ascii="Times New Roman" w:hAnsi="Times New Roman" w:cs="Times New Roman"/>
        </w:rPr>
        <w:t xml:space="preserve">.  </w:t>
      </w:r>
      <w:r w:rsidR="006E745B" w:rsidRPr="00320ADF">
        <w:rPr>
          <w:rFonts w:ascii="Times New Roman" w:hAnsi="Times New Roman" w:cs="Times New Roman"/>
        </w:rPr>
        <w:t>Any conceivable adaptation</w:t>
      </w:r>
      <w:r w:rsidR="004546D0" w:rsidRPr="00320ADF">
        <w:rPr>
          <w:rFonts w:ascii="Times New Roman" w:hAnsi="Times New Roman" w:cs="Times New Roman"/>
        </w:rPr>
        <w:t xml:space="preserve"> </w:t>
      </w:r>
      <w:r w:rsidR="006E745B" w:rsidRPr="00320ADF">
        <w:rPr>
          <w:rFonts w:ascii="Times New Roman" w:hAnsi="Times New Roman" w:cs="Times New Roman"/>
        </w:rPr>
        <w:t xml:space="preserve">measures </w:t>
      </w:r>
      <w:r w:rsidR="004546D0" w:rsidRPr="00320ADF">
        <w:rPr>
          <w:rFonts w:ascii="Times New Roman" w:hAnsi="Times New Roman" w:cs="Times New Roman"/>
        </w:rPr>
        <w:t>will be for naught</w:t>
      </w:r>
      <w:r w:rsidR="006E745B" w:rsidRPr="00320ADF">
        <w:rPr>
          <w:rFonts w:ascii="Times New Roman" w:hAnsi="Times New Roman" w:cs="Times New Roman"/>
        </w:rPr>
        <w:t xml:space="preserve"> </w:t>
      </w:r>
      <w:r w:rsidR="00187824" w:rsidRPr="00320ADF">
        <w:rPr>
          <w:rFonts w:ascii="Times New Roman" w:hAnsi="Times New Roman" w:cs="Times New Roman"/>
        </w:rPr>
        <w:t xml:space="preserve">in </w:t>
      </w:r>
      <w:r w:rsidR="00C07347" w:rsidRPr="00320ADF">
        <w:rPr>
          <w:rFonts w:ascii="Times New Roman" w:hAnsi="Times New Roman" w:cs="Times New Roman"/>
        </w:rPr>
        <w:t>a</w:t>
      </w:r>
      <w:r w:rsidR="00187824" w:rsidRPr="00320ADF">
        <w:rPr>
          <w:rFonts w:ascii="Times New Roman" w:hAnsi="Times New Roman" w:cs="Times New Roman"/>
        </w:rPr>
        <w:t xml:space="preserve"> scenario of runaway heating.</w:t>
      </w:r>
      <w:r w:rsidR="000948BD" w:rsidRPr="00320ADF">
        <w:rPr>
          <w:rFonts w:ascii="Times New Roman" w:hAnsi="Times New Roman" w:cs="Times New Roman"/>
        </w:rPr>
        <w:t xml:space="preserve"> </w:t>
      </w:r>
    </w:p>
    <w:p w:rsidR="00677F14" w:rsidRPr="00320ADF" w:rsidRDefault="000F60FE" w:rsidP="00527B69">
      <w:pPr>
        <w:spacing w:line="480" w:lineRule="auto"/>
        <w:ind w:firstLine="720"/>
        <w:jc w:val="both"/>
        <w:rPr>
          <w:rFonts w:ascii="Times New Roman" w:hAnsi="Times New Roman" w:cs="Times New Roman"/>
        </w:rPr>
      </w:pPr>
      <w:r w:rsidRPr="00320ADF">
        <w:rPr>
          <w:rFonts w:ascii="Times New Roman" w:hAnsi="Times New Roman" w:cs="Times New Roman"/>
        </w:rPr>
        <w:t>A</w:t>
      </w:r>
      <w:r w:rsidR="00187824" w:rsidRPr="00320ADF">
        <w:rPr>
          <w:rFonts w:ascii="Times New Roman" w:hAnsi="Times New Roman" w:cs="Times New Roman"/>
        </w:rPr>
        <w:t xml:space="preserve">tmospheric NRD </w:t>
      </w:r>
      <w:r w:rsidR="00C83ECA" w:rsidRPr="00320ADF">
        <w:rPr>
          <w:rFonts w:ascii="Times New Roman" w:hAnsi="Times New Roman" w:cs="Times New Roman"/>
        </w:rPr>
        <w:t xml:space="preserve">suits </w:t>
      </w:r>
      <w:r w:rsidR="00187824" w:rsidRPr="00320ADF">
        <w:rPr>
          <w:rFonts w:ascii="Times New Roman" w:hAnsi="Times New Roman" w:cs="Times New Roman"/>
        </w:rPr>
        <w:t xml:space="preserve">seek to </w:t>
      </w:r>
      <w:r w:rsidRPr="00320ADF">
        <w:rPr>
          <w:rFonts w:ascii="Times New Roman" w:hAnsi="Times New Roman" w:cs="Times New Roman"/>
        </w:rPr>
        <w:t>restore the climate system</w:t>
      </w:r>
      <w:r w:rsidR="00187824" w:rsidRPr="00320ADF">
        <w:rPr>
          <w:rFonts w:ascii="Times New Roman" w:hAnsi="Times New Roman" w:cs="Times New Roman"/>
        </w:rPr>
        <w:t xml:space="preserve"> by cleaning up excess carbon dioxide in the sky.  As explained below</w:t>
      </w:r>
      <w:r w:rsidR="004546D0" w:rsidRPr="00320ADF">
        <w:rPr>
          <w:rFonts w:ascii="Times New Roman" w:hAnsi="Times New Roman" w:cs="Times New Roman"/>
        </w:rPr>
        <w:t>,</w:t>
      </w:r>
      <w:r w:rsidR="00187824" w:rsidRPr="00320ADF">
        <w:rPr>
          <w:rFonts w:ascii="Times New Roman" w:hAnsi="Times New Roman" w:cs="Times New Roman"/>
        </w:rPr>
        <w:t xml:space="preserve"> </w:t>
      </w:r>
      <w:r w:rsidR="00BB118A" w:rsidRPr="00320ADF">
        <w:rPr>
          <w:rFonts w:ascii="Times New Roman" w:hAnsi="Times New Roman" w:cs="Times New Roman"/>
        </w:rPr>
        <w:t xml:space="preserve">nearly </w:t>
      </w:r>
      <w:r w:rsidR="00187824" w:rsidRPr="00320ADF">
        <w:rPr>
          <w:rFonts w:ascii="Times New Roman" w:hAnsi="Times New Roman" w:cs="Times New Roman"/>
        </w:rPr>
        <w:t>every sovereign is positioned to sue for clean</w:t>
      </w:r>
      <w:r w:rsidR="00677F14" w:rsidRPr="00320ADF">
        <w:rPr>
          <w:rFonts w:ascii="Times New Roman" w:hAnsi="Times New Roman" w:cs="Times New Roman"/>
        </w:rPr>
        <w:t>-</w:t>
      </w:r>
      <w:r w:rsidR="00187824" w:rsidRPr="00320ADF">
        <w:rPr>
          <w:rFonts w:ascii="Times New Roman" w:hAnsi="Times New Roman" w:cs="Times New Roman"/>
        </w:rPr>
        <w:t xml:space="preserve">up </w:t>
      </w:r>
      <w:r w:rsidR="00187824" w:rsidRPr="00320ADF">
        <w:rPr>
          <w:rFonts w:ascii="Times New Roman" w:hAnsi="Times New Roman" w:cs="Times New Roman"/>
        </w:rPr>
        <w:lastRenderedPageBreak/>
        <w:t xml:space="preserve">costs to fund drawdown projects in its jurisdiction.  While </w:t>
      </w:r>
      <w:r w:rsidR="000948BD" w:rsidRPr="00320ADF">
        <w:rPr>
          <w:rFonts w:ascii="Times New Roman" w:hAnsi="Times New Roman" w:cs="Times New Roman"/>
        </w:rPr>
        <w:t>any</w:t>
      </w:r>
      <w:r w:rsidR="00187824" w:rsidRPr="00320ADF">
        <w:rPr>
          <w:rFonts w:ascii="Times New Roman" w:hAnsi="Times New Roman" w:cs="Times New Roman"/>
        </w:rPr>
        <w:t xml:space="preserve"> one sovereign can achieve </w:t>
      </w:r>
      <w:r w:rsidR="000948BD" w:rsidRPr="00320ADF">
        <w:rPr>
          <w:rFonts w:ascii="Times New Roman" w:hAnsi="Times New Roman" w:cs="Times New Roman"/>
        </w:rPr>
        <w:t xml:space="preserve">only a fractional share of the </w:t>
      </w:r>
      <w:r w:rsidR="00187824" w:rsidRPr="00320ADF">
        <w:rPr>
          <w:rFonts w:ascii="Times New Roman" w:hAnsi="Times New Roman" w:cs="Times New Roman"/>
        </w:rPr>
        <w:t xml:space="preserve">total sky cleanup, </w:t>
      </w:r>
      <w:r w:rsidR="004546D0" w:rsidRPr="00320ADF">
        <w:rPr>
          <w:rFonts w:ascii="Times New Roman" w:hAnsi="Times New Roman" w:cs="Times New Roman"/>
        </w:rPr>
        <w:t xml:space="preserve">virtually </w:t>
      </w:r>
      <w:r w:rsidR="00187824" w:rsidRPr="00320ADF">
        <w:rPr>
          <w:rFonts w:ascii="Times New Roman" w:hAnsi="Times New Roman" w:cs="Times New Roman"/>
        </w:rPr>
        <w:t xml:space="preserve">every </w:t>
      </w:r>
      <w:r w:rsidR="00E96CBB">
        <w:rPr>
          <w:rFonts w:ascii="Times New Roman" w:hAnsi="Times New Roman" w:cs="Times New Roman"/>
        </w:rPr>
        <w:t xml:space="preserve">successful </w:t>
      </w:r>
      <w:r w:rsidR="00187824" w:rsidRPr="00320ADF">
        <w:rPr>
          <w:rFonts w:ascii="Times New Roman" w:hAnsi="Times New Roman" w:cs="Times New Roman"/>
        </w:rPr>
        <w:t xml:space="preserve">project contributes to the </w:t>
      </w:r>
      <w:r w:rsidR="004546D0" w:rsidRPr="00320ADF">
        <w:rPr>
          <w:rFonts w:ascii="Times New Roman" w:hAnsi="Times New Roman" w:cs="Times New Roman"/>
        </w:rPr>
        <w:t xml:space="preserve">overall </w:t>
      </w:r>
      <w:r w:rsidR="00187824" w:rsidRPr="00320ADF">
        <w:rPr>
          <w:rFonts w:ascii="Times New Roman" w:hAnsi="Times New Roman" w:cs="Times New Roman"/>
        </w:rPr>
        <w:t>goal.  Thus,</w:t>
      </w:r>
      <w:r w:rsidR="00280816" w:rsidRPr="00320ADF">
        <w:rPr>
          <w:rFonts w:ascii="Times New Roman" w:hAnsi="Times New Roman" w:cs="Times New Roman"/>
        </w:rPr>
        <w:t xml:space="preserve"> a win </w:t>
      </w:r>
      <w:r w:rsidR="00C83ECA" w:rsidRPr="00320ADF">
        <w:rPr>
          <w:rFonts w:ascii="Times New Roman" w:hAnsi="Times New Roman" w:cs="Times New Roman"/>
        </w:rPr>
        <w:t xml:space="preserve">for any </w:t>
      </w:r>
      <w:r w:rsidR="00E3133B" w:rsidRPr="00320ADF">
        <w:rPr>
          <w:rFonts w:ascii="Times New Roman" w:hAnsi="Times New Roman" w:cs="Times New Roman"/>
        </w:rPr>
        <w:t>NRD</w:t>
      </w:r>
      <w:r w:rsidR="00280816" w:rsidRPr="00320ADF">
        <w:rPr>
          <w:rFonts w:ascii="Times New Roman" w:hAnsi="Times New Roman" w:cs="Times New Roman"/>
        </w:rPr>
        <w:t xml:space="preserve"> suit</w:t>
      </w:r>
      <w:r w:rsidR="00E96CBB">
        <w:rPr>
          <w:rFonts w:ascii="Times New Roman" w:hAnsi="Times New Roman" w:cs="Times New Roman"/>
        </w:rPr>
        <w:t xml:space="preserve"> may</w:t>
      </w:r>
      <w:r w:rsidR="00280816" w:rsidRPr="00320ADF">
        <w:rPr>
          <w:rFonts w:ascii="Times New Roman" w:hAnsi="Times New Roman" w:cs="Times New Roman"/>
        </w:rPr>
        <w:t xml:space="preserve"> represent a win for all jurisdictions across the globe, in contrast to the second-generation climate </w:t>
      </w:r>
      <w:r w:rsidR="00E3133B" w:rsidRPr="00320ADF">
        <w:rPr>
          <w:rFonts w:ascii="Times New Roman" w:hAnsi="Times New Roman" w:cs="Times New Roman"/>
        </w:rPr>
        <w:t xml:space="preserve">adaptation </w:t>
      </w:r>
      <w:r w:rsidR="00280816" w:rsidRPr="00320ADF">
        <w:rPr>
          <w:rFonts w:ascii="Times New Roman" w:hAnsi="Times New Roman" w:cs="Times New Roman"/>
        </w:rPr>
        <w:t>lawsuits, which</w:t>
      </w:r>
      <w:r w:rsidR="00D709F0" w:rsidRPr="00320ADF">
        <w:rPr>
          <w:rFonts w:ascii="Times New Roman" w:hAnsi="Times New Roman" w:cs="Times New Roman"/>
        </w:rPr>
        <w:t xml:space="preserve"> allow a </w:t>
      </w:r>
      <w:r w:rsidR="00280816" w:rsidRPr="00320ADF">
        <w:rPr>
          <w:rFonts w:ascii="Times New Roman" w:hAnsi="Times New Roman" w:cs="Times New Roman"/>
        </w:rPr>
        <w:t>few winners at best</w:t>
      </w:r>
      <w:r w:rsidR="00D709F0" w:rsidRPr="00320ADF">
        <w:rPr>
          <w:rFonts w:ascii="Times New Roman" w:hAnsi="Times New Roman" w:cs="Times New Roman"/>
        </w:rPr>
        <w:t xml:space="preserve"> and leave </w:t>
      </w:r>
      <w:r w:rsidR="00C83ECA" w:rsidRPr="00320ADF">
        <w:rPr>
          <w:rFonts w:ascii="Times New Roman" w:hAnsi="Times New Roman" w:cs="Times New Roman"/>
        </w:rPr>
        <w:t>the rest behind.</w:t>
      </w:r>
      <w:r w:rsidR="00280816" w:rsidRPr="00320ADF">
        <w:rPr>
          <w:rFonts w:ascii="Times New Roman" w:hAnsi="Times New Roman" w:cs="Times New Roman"/>
        </w:rPr>
        <w:t xml:space="preserve">  </w:t>
      </w:r>
      <w:r w:rsidR="00187824" w:rsidRPr="00320ADF">
        <w:rPr>
          <w:rFonts w:ascii="Times New Roman" w:hAnsi="Times New Roman" w:cs="Times New Roman"/>
        </w:rPr>
        <w:t xml:space="preserve"> </w:t>
      </w:r>
      <w:r w:rsidR="002C7F95" w:rsidRPr="00320ADF">
        <w:rPr>
          <w:rFonts w:ascii="Times New Roman" w:hAnsi="Times New Roman" w:cs="Times New Roman"/>
        </w:rPr>
        <w:t>If</w:t>
      </w:r>
      <w:r w:rsidR="004546D0" w:rsidRPr="00320ADF">
        <w:rPr>
          <w:rFonts w:ascii="Times New Roman" w:hAnsi="Times New Roman" w:cs="Times New Roman"/>
        </w:rPr>
        <w:t xml:space="preserve"> </w:t>
      </w:r>
      <w:r w:rsidR="00AA7A9C" w:rsidRPr="00320ADF">
        <w:rPr>
          <w:rFonts w:ascii="Times New Roman" w:hAnsi="Times New Roman" w:cs="Times New Roman"/>
        </w:rPr>
        <w:t>those</w:t>
      </w:r>
      <w:r w:rsidR="004546D0" w:rsidRPr="00320ADF">
        <w:rPr>
          <w:rFonts w:ascii="Times New Roman" w:hAnsi="Times New Roman" w:cs="Times New Roman"/>
        </w:rPr>
        <w:t xml:space="preserve"> suits prevail in their remedy seeking “disgorgement of profits,”</w:t>
      </w:r>
      <w:r w:rsidR="00677F14" w:rsidRPr="00320ADF">
        <w:rPr>
          <w:rFonts w:ascii="Times New Roman" w:hAnsi="Times New Roman" w:cs="Times New Roman"/>
        </w:rPr>
        <w:t xml:space="preserve"> </w:t>
      </w:r>
      <w:r w:rsidR="004546D0" w:rsidRPr="00320ADF">
        <w:rPr>
          <w:rFonts w:ascii="Times New Roman" w:hAnsi="Times New Roman" w:cs="Times New Roman"/>
        </w:rPr>
        <w:t xml:space="preserve">there will be no financial </w:t>
      </w:r>
      <w:r w:rsidR="00EA0EDD" w:rsidRPr="00320ADF">
        <w:rPr>
          <w:rFonts w:ascii="Times New Roman" w:hAnsi="Times New Roman" w:cs="Times New Roman"/>
        </w:rPr>
        <w:t>coffers available</w:t>
      </w:r>
      <w:r w:rsidR="004546D0" w:rsidRPr="00320ADF">
        <w:rPr>
          <w:rFonts w:ascii="Times New Roman" w:hAnsi="Times New Roman" w:cs="Times New Roman"/>
        </w:rPr>
        <w:t xml:space="preserve"> from the fossil fuel industry to fund sky cleanup</w:t>
      </w:r>
      <w:r w:rsidR="002C7F95" w:rsidRPr="00320ADF">
        <w:rPr>
          <w:rFonts w:ascii="Times New Roman" w:hAnsi="Times New Roman" w:cs="Times New Roman"/>
        </w:rPr>
        <w:t>.</w:t>
      </w:r>
      <w:r w:rsidR="002C66BF" w:rsidRPr="00320ADF">
        <w:rPr>
          <w:rFonts w:ascii="Times New Roman" w:hAnsi="Times New Roman" w:cs="Times New Roman"/>
        </w:rPr>
        <w:t xml:space="preserve">  </w:t>
      </w:r>
      <w:r w:rsidR="00E3133B" w:rsidRPr="00320ADF">
        <w:rPr>
          <w:rFonts w:ascii="Times New Roman" w:hAnsi="Times New Roman" w:cs="Times New Roman"/>
        </w:rPr>
        <w:t xml:space="preserve">Nevertheless, </w:t>
      </w:r>
      <w:r w:rsidR="00AA7A9C" w:rsidRPr="00320ADF">
        <w:rPr>
          <w:rFonts w:ascii="Times New Roman" w:hAnsi="Times New Roman" w:cs="Times New Roman"/>
        </w:rPr>
        <w:t>such</w:t>
      </w:r>
      <w:r w:rsidR="00E3133B" w:rsidRPr="00320ADF">
        <w:rPr>
          <w:rFonts w:ascii="Times New Roman" w:hAnsi="Times New Roman" w:cs="Times New Roman"/>
        </w:rPr>
        <w:t xml:space="preserve"> </w:t>
      </w:r>
      <w:r w:rsidR="00426911" w:rsidRPr="00320ADF">
        <w:rPr>
          <w:rFonts w:ascii="Times New Roman" w:hAnsi="Times New Roman" w:cs="Times New Roman"/>
        </w:rPr>
        <w:t>suits</w:t>
      </w:r>
      <w:r w:rsidR="00703DCA" w:rsidRPr="00320ADF">
        <w:rPr>
          <w:rFonts w:ascii="Times New Roman" w:hAnsi="Times New Roman" w:cs="Times New Roman"/>
        </w:rPr>
        <w:t xml:space="preserve"> </w:t>
      </w:r>
      <w:r w:rsidR="00426911" w:rsidRPr="00320ADF">
        <w:rPr>
          <w:rFonts w:ascii="Times New Roman" w:hAnsi="Times New Roman" w:cs="Times New Roman"/>
        </w:rPr>
        <w:t xml:space="preserve">have </w:t>
      </w:r>
      <w:r w:rsidR="00E3133B" w:rsidRPr="00320ADF">
        <w:rPr>
          <w:rFonts w:ascii="Times New Roman" w:hAnsi="Times New Roman" w:cs="Times New Roman"/>
        </w:rPr>
        <w:t>contributed greatly to the ultimate goal of sky cleanup</w:t>
      </w:r>
      <w:r w:rsidR="00426911" w:rsidRPr="00320ADF">
        <w:rPr>
          <w:rFonts w:ascii="Times New Roman" w:hAnsi="Times New Roman" w:cs="Times New Roman"/>
        </w:rPr>
        <w:t xml:space="preserve"> by amassing crucial evidence of industry culpability and crafting legal approaches to </w:t>
      </w:r>
      <w:r w:rsidR="00E3133B" w:rsidRPr="00320ADF">
        <w:rPr>
          <w:rFonts w:ascii="Times New Roman" w:hAnsi="Times New Roman" w:cs="Times New Roman"/>
        </w:rPr>
        <w:t>industry liability</w:t>
      </w:r>
      <w:r w:rsidR="00426911" w:rsidRPr="00320ADF">
        <w:rPr>
          <w:rFonts w:ascii="Times New Roman" w:hAnsi="Times New Roman" w:cs="Times New Roman"/>
        </w:rPr>
        <w:t xml:space="preserve">.  </w:t>
      </w:r>
      <w:r w:rsidR="0029152C" w:rsidRPr="00320ADF">
        <w:rPr>
          <w:rFonts w:ascii="Times New Roman" w:hAnsi="Times New Roman" w:cs="Times New Roman"/>
        </w:rPr>
        <w:t xml:space="preserve">  </w:t>
      </w:r>
    </w:p>
    <w:p w:rsidR="00B3013B" w:rsidRDefault="00B3013B" w:rsidP="0069534C">
      <w:pPr>
        <w:pStyle w:val="ListParagraph"/>
        <w:numPr>
          <w:ilvl w:val="0"/>
          <w:numId w:val="3"/>
        </w:numPr>
        <w:spacing w:line="276" w:lineRule="auto"/>
        <w:jc w:val="both"/>
        <w:rPr>
          <w:b/>
          <w:bCs/>
        </w:rPr>
      </w:pPr>
      <w:r w:rsidRPr="00320ADF">
        <w:rPr>
          <w:b/>
          <w:bCs/>
        </w:rPr>
        <w:t>THE PUBLIC TRUST ATMOSPHERIC RECOVERY LITIGATION FRAMEWORK</w:t>
      </w:r>
    </w:p>
    <w:p w:rsidR="0069534C" w:rsidRPr="00320ADF" w:rsidRDefault="0069534C" w:rsidP="0069534C">
      <w:pPr>
        <w:pStyle w:val="ListParagraph"/>
        <w:spacing w:line="276" w:lineRule="auto"/>
        <w:ind w:left="1080"/>
        <w:jc w:val="both"/>
        <w:rPr>
          <w:b/>
          <w:bCs/>
        </w:rPr>
      </w:pPr>
    </w:p>
    <w:p w:rsidR="00B3013B" w:rsidRPr="00320ADF" w:rsidRDefault="00B3013B" w:rsidP="00622706">
      <w:pPr>
        <w:spacing w:line="480" w:lineRule="auto"/>
        <w:ind w:firstLine="720"/>
        <w:jc w:val="both"/>
        <w:rPr>
          <w:rFonts w:ascii="Times New Roman" w:eastAsia="Times New Roman" w:hAnsi="Times New Roman" w:cs="Times New Roman"/>
        </w:rPr>
      </w:pPr>
      <w:r w:rsidRPr="00320ADF">
        <w:rPr>
          <w:rFonts w:ascii="Times New Roman" w:hAnsi="Times New Roman" w:cs="Times New Roman"/>
        </w:rPr>
        <w:t xml:space="preserve">The atmospheric recovery lawsuit presents a common-law analogue to a lawsuit seeking recovery of natural resource damages in the wake of an oil spill in waters.  The discussion below </w:t>
      </w:r>
      <w:r w:rsidR="00917647" w:rsidRPr="00320ADF">
        <w:rPr>
          <w:rFonts w:ascii="Times New Roman" w:hAnsi="Times New Roman" w:cs="Times New Roman"/>
        </w:rPr>
        <w:t>does</w:t>
      </w:r>
      <w:r w:rsidR="00622706" w:rsidRPr="00320ADF">
        <w:rPr>
          <w:rFonts w:ascii="Times New Roman" w:eastAsia="Times New Roman" w:hAnsi="Times New Roman" w:cs="Times New Roman"/>
        </w:rPr>
        <w:t xml:space="preserve"> not purport to resolve or even identify every procedural impediment that may arise in such an effort</w:t>
      </w:r>
      <w:r w:rsidR="001D0038" w:rsidRPr="00320ADF">
        <w:rPr>
          <w:rFonts w:ascii="Times New Roman" w:eastAsia="Times New Roman" w:hAnsi="Times New Roman" w:cs="Times New Roman"/>
        </w:rPr>
        <w:t xml:space="preserve">, but </w:t>
      </w:r>
      <w:r w:rsidR="0029152C" w:rsidRPr="00320ADF">
        <w:rPr>
          <w:rFonts w:ascii="Times New Roman" w:eastAsia="Times New Roman" w:hAnsi="Times New Roman" w:cs="Times New Roman"/>
        </w:rPr>
        <w:t>rather</w:t>
      </w:r>
      <w:r w:rsidR="001D0038" w:rsidRPr="00320ADF">
        <w:rPr>
          <w:rFonts w:ascii="Times New Roman" w:eastAsia="Times New Roman" w:hAnsi="Times New Roman" w:cs="Times New Roman"/>
        </w:rPr>
        <w:t xml:space="preserve"> </w:t>
      </w:r>
      <w:r w:rsidR="001D0038" w:rsidRPr="00320ADF">
        <w:rPr>
          <w:rFonts w:ascii="Times New Roman" w:hAnsi="Times New Roman" w:cs="Times New Roman"/>
        </w:rPr>
        <w:t>frames an approach</w:t>
      </w:r>
      <w:r w:rsidR="00622706" w:rsidRPr="00320ADF">
        <w:rPr>
          <w:rFonts w:ascii="Times New Roman" w:eastAsia="Times New Roman" w:hAnsi="Times New Roman" w:cs="Times New Roman"/>
        </w:rPr>
        <w:t xml:space="preserve">.  </w:t>
      </w:r>
      <w:r w:rsidRPr="00320ADF">
        <w:rPr>
          <w:rFonts w:ascii="Times New Roman" w:hAnsi="Times New Roman" w:cs="Times New Roman"/>
        </w:rPr>
        <w:t xml:space="preserve">Litigators </w:t>
      </w:r>
      <w:r w:rsidR="0029152C" w:rsidRPr="00320ADF">
        <w:rPr>
          <w:rFonts w:ascii="Times New Roman" w:hAnsi="Times New Roman" w:cs="Times New Roman"/>
        </w:rPr>
        <w:t>must</w:t>
      </w:r>
      <w:r w:rsidRPr="00320ADF">
        <w:rPr>
          <w:rFonts w:ascii="Times New Roman" w:hAnsi="Times New Roman" w:cs="Times New Roman"/>
        </w:rPr>
        <w:t xml:space="preserve"> navigate specific rules and doctrines applicable in their jurisdiction. </w:t>
      </w:r>
    </w:p>
    <w:p w:rsidR="00B3013B" w:rsidRPr="00320ADF" w:rsidRDefault="00B3013B" w:rsidP="005F2650">
      <w:pPr>
        <w:pStyle w:val="ListParagraph"/>
        <w:numPr>
          <w:ilvl w:val="0"/>
          <w:numId w:val="33"/>
        </w:numPr>
        <w:spacing w:line="480" w:lineRule="auto"/>
        <w:jc w:val="both"/>
        <w:rPr>
          <w:b/>
          <w:bCs/>
        </w:rPr>
      </w:pPr>
      <w:r w:rsidRPr="00320ADF">
        <w:rPr>
          <w:b/>
          <w:bCs/>
        </w:rPr>
        <w:t xml:space="preserve">THE ATMOSHERE AS A </w:t>
      </w:r>
      <w:r w:rsidRPr="00320ADF">
        <w:rPr>
          <w:b/>
          <w:bCs/>
          <w:i/>
          <w:iCs/>
        </w:rPr>
        <w:t>RES</w:t>
      </w:r>
      <w:r w:rsidRPr="00320ADF">
        <w:rPr>
          <w:b/>
          <w:bCs/>
        </w:rPr>
        <w:t xml:space="preserve"> </w:t>
      </w:r>
    </w:p>
    <w:p w:rsidR="00B3013B" w:rsidRPr="00320ADF" w:rsidRDefault="00B3013B" w:rsidP="00E54667">
      <w:pPr>
        <w:spacing w:line="480" w:lineRule="auto"/>
        <w:ind w:firstLine="720"/>
        <w:jc w:val="both"/>
        <w:rPr>
          <w:rFonts w:ascii="Times New Roman" w:hAnsi="Times New Roman" w:cs="Times New Roman"/>
          <w:w w:val="110"/>
          <w:position w:val="10"/>
        </w:rPr>
      </w:pPr>
      <w:r w:rsidRPr="00320ADF">
        <w:rPr>
          <w:rFonts w:ascii="Times New Roman" w:hAnsi="Times New Roman" w:cs="Times New Roman"/>
          <w:w w:val="110"/>
        </w:rPr>
        <w:t xml:space="preserve">It is </w:t>
      </w:r>
      <w:r w:rsidR="00FD6CD6" w:rsidRPr="00320ADF">
        <w:rPr>
          <w:rFonts w:ascii="Times New Roman" w:hAnsi="Times New Roman" w:cs="Times New Roman"/>
          <w:w w:val="110"/>
        </w:rPr>
        <w:t xml:space="preserve">only </w:t>
      </w:r>
      <w:r w:rsidR="001D0038" w:rsidRPr="00320ADF">
        <w:rPr>
          <w:rFonts w:ascii="Times New Roman" w:hAnsi="Times New Roman" w:cs="Times New Roman"/>
          <w:w w:val="110"/>
        </w:rPr>
        <w:t>logical</w:t>
      </w:r>
      <w:r w:rsidRPr="00320ADF">
        <w:rPr>
          <w:rFonts w:ascii="Times New Roman" w:hAnsi="Times New Roman" w:cs="Times New Roman"/>
          <w:w w:val="110"/>
        </w:rPr>
        <w:t xml:space="preserve"> that atmospher</w:t>
      </w:r>
      <w:r w:rsidR="001D0038" w:rsidRPr="00320ADF">
        <w:rPr>
          <w:rFonts w:ascii="Times New Roman" w:hAnsi="Times New Roman" w:cs="Times New Roman"/>
          <w:w w:val="110"/>
        </w:rPr>
        <w:t>ic pollution</w:t>
      </w:r>
      <w:r w:rsidRPr="00320ADF">
        <w:rPr>
          <w:rFonts w:ascii="Times New Roman" w:hAnsi="Times New Roman" w:cs="Times New Roman"/>
          <w:w w:val="110"/>
        </w:rPr>
        <w:t xml:space="preserve"> can be the subject of a</w:t>
      </w:r>
      <w:r w:rsidR="000C52DE" w:rsidRPr="00320ADF">
        <w:rPr>
          <w:rFonts w:ascii="Times New Roman" w:hAnsi="Times New Roman" w:cs="Times New Roman"/>
          <w:w w:val="110"/>
        </w:rPr>
        <w:t xml:space="preserve"> common law</w:t>
      </w:r>
      <w:r w:rsidRPr="00320ADF">
        <w:rPr>
          <w:rFonts w:ascii="Times New Roman" w:hAnsi="Times New Roman" w:cs="Times New Roman"/>
          <w:w w:val="110"/>
        </w:rPr>
        <w:t xml:space="preserve"> NRD claim.  Air has been considered a public asset since Roman times</w:t>
      </w:r>
      <w:r w:rsidR="000C52DE" w:rsidRPr="00320ADF">
        <w:rPr>
          <w:rFonts w:ascii="Times New Roman" w:hAnsi="Times New Roman" w:cs="Times New Roman"/>
          <w:w w:val="110"/>
        </w:rPr>
        <w:t xml:space="preserve"> and remains a resource crucial to the survival of life on Earth.</w:t>
      </w:r>
      <w:r w:rsidRPr="00320ADF">
        <w:rPr>
          <w:rStyle w:val="FootnoteReference"/>
          <w:rFonts w:ascii="Times New Roman" w:hAnsi="Times New Roman" w:cs="Times New Roman"/>
          <w:w w:val="110"/>
        </w:rPr>
        <w:footnoteReference w:id="29"/>
      </w:r>
      <w:r w:rsidRPr="00320ADF">
        <w:rPr>
          <w:rFonts w:ascii="Times New Roman" w:hAnsi="Times New Roman" w:cs="Times New Roman"/>
          <w:w w:val="110"/>
          <w:position w:val="10"/>
        </w:rPr>
        <w:t xml:space="preserve"> </w:t>
      </w:r>
      <w:r w:rsidR="00101B5E" w:rsidRPr="00320ADF">
        <w:rPr>
          <w:rFonts w:ascii="Times New Roman" w:hAnsi="Times New Roman" w:cs="Times New Roman"/>
          <w:w w:val="110"/>
          <w:position w:val="10"/>
        </w:rPr>
        <w:t xml:space="preserve"> </w:t>
      </w:r>
      <w:r w:rsidRPr="00320ADF">
        <w:rPr>
          <w:rFonts w:ascii="Times New Roman" w:hAnsi="Times New Roman" w:cs="Times New Roman"/>
          <w:w w:val="110"/>
        </w:rPr>
        <w:t xml:space="preserve">Roman law </w:t>
      </w:r>
      <w:r w:rsidRPr="00320ADF">
        <w:rPr>
          <w:rFonts w:ascii="Times New Roman" w:hAnsi="Times New Roman" w:cs="Times New Roman"/>
          <w:w w:val="108"/>
        </w:rPr>
        <w:t>c</w:t>
      </w:r>
      <w:r w:rsidRPr="00320ADF">
        <w:rPr>
          <w:rFonts w:ascii="Times New Roman" w:hAnsi="Times New Roman" w:cs="Times New Roman"/>
          <w:spacing w:val="-1"/>
          <w:w w:val="108"/>
        </w:rPr>
        <w:t>l</w:t>
      </w:r>
      <w:r w:rsidRPr="00320ADF">
        <w:rPr>
          <w:rFonts w:ascii="Times New Roman" w:hAnsi="Times New Roman" w:cs="Times New Roman"/>
          <w:w w:val="111"/>
        </w:rPr>
        <w:t>ass</w:t>
      </w:r>
      <w:r w:rsidRPr="00320ADF">
        <w:rPr>
          <w:rFonts w:ascii="Times New Roman" w:hAnsi="Times New Roman" w:cs="Times New Roman"/>
          <w:spacing w:val="-1"/>
          <w:w w:val="111"/>
        </w:rPr>
        <w:t>i</w:t>
      </w:r>
      <w:r w:rsidRPr="00320ADF">
        <w:rPr>
          <w:rFonts w:ascii="Times New Roman" w:hAnsi="Times New Roman" w:cs="Times New Roman"/>
        </w:rPr>
        <w:t>f</w:t>
      </w:r>
      <w:r w:rsidRPr="00320ADF">
        <w:rPr>
          <w:rFonts w:ascii="Times New Roman" w:hAnsi="Times New Roman" w:cs="Times New Roman"/>
          <w:spacing w:val="-2"/>
        </w:rPr>
        <w:t>i</w:t>
      </w:r>
      <w:r w:rsidRPr="00320ADF">
        <w:rPr>
          <w:rFonts w:ascii="Times New Roman" w:hAnsi="Times New Roman" w:cs="Times New Roman"/>
          <w:w w:val="112"/>
        </w:rPr>
        <w:t>ed</w:t>
      </w:r>
      <w:r w:rsidRPr="00320ADF">
        <w:rPr>
          <w:rFonts w:ascii="Times New Roman" w:hAnsi="Times New Roman" w:cs="Times New Roman"/>
        </w:rPr>
        <w:t xml:space="preserve"> </w:t>
      </w:r>
      <w:r w:rsidRPr="00320ADF">
        <w:rPr>
          <w:rFonts w:ascii="Times New Roman" w:hAnsi="Times New Roman" w:cs="Times New Roman"/>
          <w:w w:val="108"/>
        </w:rPr>
        <w:t>a</w:t>
      </w:r>
      <w:r w:rsidRPr="00320ADF">
        <w:rPr>
          <w:rFonts w:ascii="Times New Roman" w:hAnsi="Times New Roman" w:cs="Times New Roman"/>
          <w:spacing w:val="-1"/>
          <w:w w:val="108"/>
        </w:rPr>
        <w:t>i</w:t>
      </w:r>
      <w:r w:rsidRPr="00320ADF">
        <w:rPr>
          <w:rFonts w:ascii="Times New Roman" w:hAnsi="Times New Roman" w:cs="Times New Roman"/>
          <w:spacing w:val="-2"/>
          <w:w w:val="117"/>
        </w:rPr>
        <w:t>r</w:t>
      </w:r>
      <w:r w:rsidRPr="00320ADF">
        <w:rPr>
          <w:rFonts w:ascii="Times New Roman" w:hAnsi="Times New Roman" w:cs="Times New Roman"/>
        </w:rPr>
        <w:t>—</w:t>
      </w:r>
      <w:r w:rsidRPr="00320ADF">
        <w:rPr>
          <w:rFonts w:ascii="Times New Roman" w:hAnsi="Times New Roman" w:cs="Times New Roman"/>
          <w:w w:val="108"/>
        </w:rPr>
        <w:t>a</w:t>
      </w:r>
      <w:r w:rsidRPr="00320ADF">
        <w:rPr>
          <w:rFonts w:ascii="Times New Roman" w:hAnsi="Times New Roman" w:cs="Times New Roman"/>
          <w:spacing w:val="-1"/>
          <w:w w:val="108"/>
        </w:rPr>
        <w:t>l</w:t>
      </w:r>
      <w:r w:rsidRPr="00320ADF">
        <w:rPr>
          <w:rFonts w:ascii="Times New Roman" w:hAnsi="Times New Roman" w:cs="Times New Roman"/>
          <w:w w:val="111"/>
        </w:rPr>
        <w:t>o</w:t>
      </w:r>
      <w:r w:rsidRPr="00320ADF">
        <w:rPr>
          <w:rFonts w:ascii="Times New Roman" w:hAnsi="Times New Roman" w:cs="Times New Roman"/>
          <w:spacing w:val="-2"/>
          <w:w w:val="111"/>
        </w:rPr>
        <w:t>n</w:t>
      </w:r>
      <w:r w:rsidRPr="00320ADF">
        <w:rPr>
          <w:rFonts w:ascii="Times New Roman" w:hAnsi="Times New Roman" w:cs="Times New Roman"/>
        </w:rPr>
        <w:t xml:space="preserve">g </w:t>
      </w:r>
      <w:r w:rsidRPr="00320ADF">
        <w:rPr>
          <w:rFonts w:ascii="Times New Roman" w:hAnsi="Times New Roman" w:cs="Times New Roman"/>
          <w:w w:val="105"/>
        </w:rPr>
        <w:t>w</w:t>
      </w:r>
      <w:r w:rsidRPr="00320ADF">
        <w:rPr>
          <w:rFonts w:ascii="Times New Roman" w:hAnsi="Times New Roman" w:cs="Times New Roman"/>
          <w:spacing w:val="-1"/>
          <w:w w:val="105"/>
        </w:rPr>
        <w:t>i</w:t>
      </w:r>
      <w:r w:rsidRPr="00320ADF">
        <w:rPr>
          <w:rFonts w:ascii="Times New Roman" w:hAnsi="Times New Roman" w:cs="Times New Roman"/>
          <w:w w:val="114"/>
        </w:rPr>
        <w:t>th</w:t>
      </w:r>
      <w:r w:rsidRPr="00320ADF">
        <w:rPr>
          <w:rFonts w:ascii="Times New Roman" w:hAnsi="Times New Roman" w:cs="Times New Roman"/>
        </w:rPr>
        <w:t xml:space="preserve"> </w:t>
      </w:r>
      <w:r w:rsidRPr="00320ADF">
        <w:rPr>
          <w:rFonts w:ascii="Times New Roman" w:hAnsi="Times New Roman" w:cs="Times New Roman"/>
          <w:w w:val="109"/>
        </w:rPr>
        <w:t>w</w:t>
      </w:r>
      <w:r w:rsidRPr="00320ADF">
        <w:rPr>
          <w:rFonts w:ascii="Times New Roman" w:hAnsi="Times New Roman" w:cs="Times New Roman"/>
          <w:spacing w:val="-1"/>
          <w:w w:val="109"/>
        </w:rPr>
        <w:t>a</w:t>
      </w:r>
      <w:r w:rsidRPr="00320ADF">
        <w:rPr>
          <w:rFonts w:ascii="Times New Roman" w:hAnsi="Times New Roman" w:cs="Times New Roman"/>
          <w:w w:val="116"/>
        </w:rPr>
        <w:t>te</w:t>
      </w:r>
      <w:r w:rsidRPr="00320ADF">
        <w:rPr>
          <w:rFonts w:ascii="Times New Roman" w:hAnsi="Times New Roman" w:cs="Times New Roman"/>
          <w:spacing w:val="-2"/>
          <w:w w:val="116"/>
        </w:rPr>
        <w:t>r</w:t>
      </w:r>
      <w:r w:rsidRPr="00320ADF">
        <w:rPr>
          <w:rFonts w:ascii="Times New Roman" w:hAnsi="Times New Roman" w:cs="Times New Roman"/>
        </w:rPr>
        <w:t>,</w:t>
      </w:r>
      <w:r w:rsidRPr="00320ADF">
        <w:rPr>
          <w:rFonts w:ascii="Times New Roman" w:hAnsi="Times New Roman" w:cs="Times New Roman"/>
          <w:spacing w:val="1"/>
        </w:rPr>
        <w:t xml:space="preserve"> </w:t>
      </w:r>
      <w:r w:rsidRPr="00320ADF">
        <w:rPr>
          <w:rFonts w:ascii="Times New Roman" w:hAnsi="Times New Roman" w:cs="Times New Roman"/>
          <w:w w:val="105"/>
        </w:rPr>
        <w:t>w</w:t>
      </w:r>
      <w:r w:rsidRPr="00320ADF">
        <w:rPr>
          <w:rFonts w:ascii="Times New Roman" w:hAnsi="Times New Roman" w:cs="Times New Roman"/>
          <w:spacing w:val="-1"/>
          <w:w w:val="105"/>
        </w:rPr>
        <w:t>i</w:t>
      </w:r>
      <w:r w:rsidRPr="00320ADF">
        <w:rPr>
          <w:rFonts w:ascii="Times New Roman" w:hAnsi="Times New Roman" w:cs="Times New Roman"/>
          <w:spacing w:val="-1"/>
        </w:rPr>
        <w:t>l</w:t>
      </w:r>
      <w:r w:rsidRPr="00320ADF">
        <w:rPr>
          <w:rFonts w:ascii="Times New Roman" w:hAnsi="Times New Roman" w:cs="Times New Roman"/>
          <w:w w:val="111"/>
        </w:rPr>
        <w:t>d</w:t>
      </w:r>
      <w:r w:rsidRPr="00320ADF">
        <w:rPr>
          <w:rFonts w:ascii="Times New Roman" w:hAnsi="Times New Roman" w:cs="Times New Roman"/>
          <w:spacing w:val="-1"/>
        </w:rPr>
        <w:t>lif</w:t>
      </w:r>
      <w:r w:rsidRPr="00320ADF">
        <w:rPr>
          <w:rFonts w:ascii="Times New Roman" w:hAnsi="Times New Roman" w:cs="Times New Roman"/>
          <w:w w:val="112"/>
        </w:rPr>
        <w:t>e</w:t>
      </w:r>
      <w:r w:rsidRPr="00320ADF">
        <w:rPr>
          <w:rFonts w:ascii="Times New Roman" w:hAnsi="Times New Roman" w:cs="Times New Roman"/>
          <w:spacing w:val="1"/>
        </w:rPr>
        <w:t xml:space="preserve"> </w:t>
      </w:r>
      <w:r w:rsidRPr="00320ADF">
        <w:rPr>
          <w:rFonts w:ascii="Times New Roman" w:hAnsi="Times New Roman" w:cs="Times New Roman"/>
          <w:w w:val="111"/>
        </w:rPr>
        <w:t>and</w:t>
      </w:r>
      <w:r w:rsidRPr="00320ADF">
        <w:rPr>
          <w:rFonts w:ascii="Times New Roman" w:hAnsi="Times New Roman" w:cs="Times New Roman"/>
        </w:rPr>
        <w:t xml:space="preserve"> </w:t>
      </w:r>
      <w:r w:rsidRPr="00320ADF">
        <w:rPr>
          <w:rFonts w:ascii="Times New Roman" w:hAnsi="Times New Roman" w:cs="Times New Roman"/>
          <w:w w:val="114"/>
        </w:rPr>
        <w:t>t</w:t>
      </w:r>
      <w:r w:rsidRPr="00320ADF">
        <w:rPr>
          <w:rFonts w:ascii="Times New Roman" w:hAnsi="Times New Roman" w:cs="Times New Roman"/>
          <w:spacing w:val="-2"/>
          <w:w w:val="114"/>
        </w:rPr>
        <w:t>h</w:t>
      </w:r>
      <w:r w:rsidRPr="00320ADF">
        <w:rPr>
          <w:rFonts w:ascii="Times New Roman" w:hAnsi="Times New Roman" w:cs="Times New Roman"/>
          <w:w w:val="112"/>
        </w:rPr>
        <w:t>e</w:t>
      </w:r>
      <w:r w:rsidRPr="00320ADF">
        <w:rPr>
          <w:rFonts w:ascii="Times New Roman" w:hAnsi="Times New Roman" w:cs="Times New Roman"/>
          <w:spacing w:val="1"/>
        </w:rPr>
        <w:t xml:space="preserve"> </w:t>
      </w:r>
      <w:r w:rsidRPr="00320ADF">
        <w:rPr>
          <w:rFonts w:ascii="Times New Roman" w:hAnsi="Times New Roman" w:cs="Times New Roman"/>
          <w:spacing w:val="-2"/>
          <w:w w:val="114"/>
        </w:rPr>
        <w:t>s</w:t>
      </w:r>
      <w:r w:rsidRPr="00320ADF">
        <w:rPr>
          <w:rFonts w:ascii="Times New Roman" w:hAnsi="Times New Roman" w:cs="Times New Roman"/>
          <w:w w:val="112"/>
        </w:rPr>
        <w:t>e</w:t>
      </w:r>
      <w:r w:rsidRPr="00320ADF">
        <w:rPr>
          <w:rFonts w:ascii="Times New Roman" w:hAnsi="Times New Roman" w:cs="Times New Roman"/>
          <w:spacing w:val="-1"/>
          <w:w w:val="112"/>
        </w:rPr>
        <w:t>a</w:t>
      </w:r>
      <w:r w:rsidRPr="00320ADF">
        <w:rPr>
          <w:rFonts w:ascii="Times New Roman" w:hAnsi="Times New Roman" w:cs="Times New Roman"/>
        </w:rPr>
        <w:t>—</w:t>
      </w:r>
      <w:r w:rsidRPr="00320ADF">
        <w:rPr>
          <w:rFonts w:ascii="Times New Roman" w:hAnsi="Times New Roman" w:cs="Times New Roman"/>
          <w:w w:val="113"/>
        </w:rPr>
        <w:t>as</w:t>
      </w:r>
      <w:r w:rsidRPr="00320ADF">
        <w:rPr>
          <w:rFonts w:ascii="Times New Roman" w:hAnsi="Times New Roman" w:cs="Times New Roman"/>
          <w:spacing w:val="1"/>
        </w:rPr>
        <w:t xml:space="preserve"> </w:t>
      </w:r>
      <w:r w:rsidRPr="00320ADF">
        <w:rPr>
          <w:rFonts w:ascii="Times New Roman" w:hAnsi="Times New Roman" w:cs="Times New Roman"/>
          <w:i/>
          <w:spacing w:val="-2"/>
          <w:w w:val="95"/>
        </w:rPr>
        <w:t>r</w:t>
      </w:r>
      <w:r w:rsidRPr="00320ADF">
        <w:rPr>
          <w:rFonts w:ascii="Times New Roman" w:hAnsi="Times New Roman" w:cs="Times New Roman"/>
          <w:i/>
          <w:w w:val="107"/>
        </w:rPr>
        <w:t>e</w:t>
      </w:r>
      <w:r w:rsidRPr="00320ADF">
        <w:rPr>
          <w:rFonts w:ascii="Times New Roman" w:hAnsi="Times New Roman" w:cs="Times New Roman"/>
          <w:i/>
          <w:w w:val="108"/>
        </w:rPr>
        <w:t>s</w:t>
      </w:r>
      <w:r w:rsidRPr="00320ADF">
        <w:rPr>
          <w:rFonts w:ascii="Times New Roman" w:hAnsi="Times New Roman" w:cs="Times New Roman"/>
          <w:i/>
          <w:spacing w:val="-2"/>
        </w:rPr>
        <w:t xml:space="preserve"> </w:t>
      </w:r>
      <w:r w:rsidRPr="00320ADF">
        <w:rPr>
          <w:rFonts w:ascii="Times New Roman" w:hAnsi="Times New Roman" w:cs="Times New Roman"/>
          <w:i/>
          <w:w w:val="108"/>
        </w:rPr>
        <w:t>co</w:t>
      </w:r>
      <w:r w:rsidRPr="00320ADF">
        <w:rPr>
          <w:rFonts w:ascii="Times New Roman" w:hAnsi="Times New Roman" w:cs="Times New Roman"/>
          <w:i/>
          <w:spacing w:val="-2"/>
          <w:w w:val="108"/>
        </w:rPr>
        <w:t>m</w:t>
      </w:r>
      <w:r w:rsidRPr="00320ADF">
        <w:rPr>
          <w:rFonts w:ascii="Times New Roman" w:hAnsi="Times New Roman" w:cs="Times New Roman"/>
          <w:i/>
          <w:spacing w:val="-1"/>
          <w:w w:val="110"/>
        </w:rPr>
        <w:t>m</w:t>
      </w:r>
      <w:r w:rsidRPr="00320ADF">
        <w:rPr>
          <w:rFonts w:ascii="Times New Roman" w:hAnsi="Times New Roman" w:cs="Times New Roman"/>
          <w:i/>
          <w:w w:val="106"/>
        </w:rPr>
        <w:t>u</w:t>
      </w:r>
      <w:r w:rsidRPr="00320ADF">
        <w:rPr>
          <w:rFonts w:ascii="Times New Roman" w:hAnsi="Times New Roman" w:cs="Times New Roman"/>
          <w:i/>
          <w:spacing w:val="-2"/>
          <w:w w:val="106"/>
        </w:rPr>
        <w:t>n</w:t>
      </w:r>
      <w:r w:rsidRPr="00320ADF">
        <w:rPr>
          <w:rFonts w:ascii="Times New Roman" w:hAnsi="Times New Roman" w:cs="Times New Roman"/>
          <w:i/>
          <w:w w:val="108"/>
        </w:rPr>
        <w:t>es</w:t>
      </w:r>
      <w:r w:rsidR="001D0038" w:rsidRPr="00320ADF">
        <w:rPr>
          <w:rFonts w:ascii="Times New Roman" w:hAnsi="Times New Roman" w:cs="Times New Roman"/>
          <w:spacing w:val="-1"/>
        </w:rPr>
        <w:t>,</w:t>
      </w:r>
      <w:r w:rsidRPr="00320ADF">
        <w:rPr>
          <w:rStyle w:val="FootnoteReference"/>
          <w:rFonts w:ascii="Times New Roman" w:hAnsi="Times New Roman" w:cs="Times New Roman"/>
          <w:spacing w:val="-1"/>
        </w:rPr>
        <w:footnoteReference w:id="30"/>
      </w:r>
      <w:r w:rsidRPr="00320ADF">
        <w:rPr>
          <w:rFonts w:ascii="Times New Roman" w:hAnsi="Times New Roman" w:cs="Times New Roman"/>
          <w:position w:val="10"/>
        </w:rPr>
        <w:t xml:space="preserve"> </w:t>
      </w:r>
      <w:r w:rsidRPr="00320ADF">
        <w:rPr>
          <w:rFonts w:ascii="Times New Roman" w:hAnsi="Times New Roman" w:cs="Times New Roman"/>
          <w:spacing w:val="2"/>
          <w:position w:val="10"/>
        </w:rPr>
        <w:t xml:space="preserve"> </w:t>
      </w:r>
      <w:r w:rsidR="001D0038" w:rsidRPr="00320ADF">
        <w:rPr>
          <w:rFonts w:ascii="Times New Roman" w:hAnsi="Times New Roman" w:cs="Times New Roman"/>
          <w:spacing w:val="-1"/>
          <w:w w:val="106"/>
        </w:rPr>
        <w:t>and many courts have emphasized Roman law as the origin of the public property rights underlying the trust principle</w:t>
      </w:r>
      <w:r w:rsidRPr="00320ADF">
        <w:rPr>
          <w:rFonts w:ascii="Times New Roman" w:hAnsi="Times New Roman" w:cs="Times New Roman"/>
          <w:w w:val="110"/>
        </w:rPr>
        <w:t>.</w:t>
      </w:r>
      <w:r w:rsidRPr="00320ADF">
        <w:rPr>
          <w:rStyle w:val="FootnoteReference"/>
          <w:rFonts w:ascii="Times New Roman" w:hAnsi="Times New Roman" w:cs="Times New Roman"/>
          <w:w w:val="110"/>
        </w:rPr>
        <w:footnoteReference w:id="31"/>
      </w:r>
      <w:r w:rsidRPr="00320ADF">
        <w:rPr>
          <w:rFonts w:ascii="Times New Roman" w:hAnsi="Times New Roman" w:cs="Times New Roman"/>
          <w:spacing w:val="18"/>
          <w:w w:val="110"/>
          <w:position w:val="10"/>
        </w:rPr>
        <w:t xml:space="preserve"> </w:t>
      </w:r>
      <w:r w:rsidR="00FD6CD6" w:rsidRPr="00320ADF">
        <w:rPr>
          <w:rFonts w:ascii="Times New Roman" w:hAnsi="Times New Roman" w:cs="Times New Roman"/>
          <w:w w:val="110"/>
        </w:rPr>
        <w:t xml:space="preserve">In </w:t>
      </w:r>
      <w:r w:rsidRPr="00320ADF">
        <w:rPr>
          <w:rFonts w:ascii="Times New Roman" w:hAnsi="Times New Roman" w:cs="Times New Roman"/>
          <w:i/>
          <w:spacing w:val="-1"/>
          <w:w w:val="95"/>
        </w:rPr>
        <w:t>G</w:t>
      </w:r>
      <w:r w:rsidRPr="00320ADF">
        <w:rPr>
          <w:rFonts w:ascii="Times New Roman" w:hAnsi="Times New Roman" w:cs="Times New Roman"/>
          <w:i/>
          <w:w w:val="107"/>
        </w:rPr>
        <w:t>e</w:t>
      </w:r>
      <w:r w:rsidRPr="00320ADF">
        <w:rPr>
          <w:rFonts w:ascii="Times New Roman" w:hAnsi="Times New Roman" w:cs="Times New Roman"/>
          <w:i/>
          <w:w w:val="101"/>
        </w:rPr>
        <w:t>o</w:t>
      </w:r>
      <w:r w:rsidRPr="00320ADF">
        <w:rPr>
          <w:rFonts w:ascii="Times New Roman" w:hAnsi="Times New Roman" w:cs="Times New Roman"/>
          <w:i/>
          <w:spacing w:val="-2"/>
          <w:w w:val="101"/>
        </w:rPr>
        <w:t>r</w:t>
      </w:r>
      <w:r w:rsidRPr="00320ADF">
        <w:rPr>
          <w:rFonts w:ascii="Times New Roman" w:hAnsi="Times New Roman" w:cs="Times New Roman"/>
          <w:i/>
          <w:w w:val="95"/>
        </w:rPr>
        <w:t>g</w:t>
      </w:r>
      <w:r w:rsidRPr="00320ADF">
        <w:rPr>
          <w:rFonts w:ascii="Times New Roman" w:hAnsi="Times New Roman" w:cs="Times New Roman"/>
          <w:i/>
          <w:spacing w:val="-1"/>
          <w:w w:val="95"/>
        </w:rPr>
        <w:t>i</w:t>
      </w:r>
      <w:r w:rsidR="00AF6642">
        <w:rPr>
          <w:rFonts w:ascii="Times New Roman" w:hAnsi="Times New Roman" w:cs="Times New Roman"/>
          <w:i/>
          <w:w w:val="95"/>
        </w:rPr>
        <w:t>a</w:t>
      </w:r>
      <w:r w:rsidR="00AF6642">
        <w:rPr>
          <w:rFonts w:ascii="Times New Roman" w:hAnsi="Times New Roman" w:cs="Times New Roman"/>
          <w:i/>
        </w:rPr>
        <w:t xml:space="preserve"> </w:t>
      </w:r>
      <w:r w:rsidRPr="00320ADF">
        <w:rPr>
          <w:rFonts w:ascii="Times New Roman" w:hAnsi="Times New Roman" w:cs="Times New Roman"/>
          <w:i/>
          <w:spacing w:val="-12"/>
        </w:rPr>
        <w:t xml:space="preserve">v. </w:t>
      </w:r>
      <w:r w:rsidRPr="00320ADF">
        <w:rPr>
          <w:rFonts w:ascii="Times New Roman" w:hAnsi="Times New Roman" w:cs="Times New Roman"/>
          <w:i/>
          <w:w w:val="106"/>
        </w:rPr>
        <w:lastRenderedPageBreak/>
        <w:t>Ten</w:t>
      </w:r>
      <w:r w:rsidRPr="00320ADF">
        <w:rPr>
          <w:rFonts w:ascii="Times New Roman" w:hAnsi="Times New Roman" w:cs="Times New Roman"/>
          <w:i/>
          <w:spacing w:val="-2"/>
          <w:w w:val="106"/>
        </w:rPr>
        <w:t>n</w:t>
      </w:r>
      <w:r w:rsidRPr="00320ADF">
        <w:rPr>
          <w:rFonts w:ascii="Times New Roman" w:hAnsi="Times New Roman" w:cs="Times New Roman"/>
          <w:i/>
          <w:w w:val="108"/>
        </w:rPr>
        <w:t>es</w:t>
      </w:r>
      <w:r w:rsidRPr="00320ADF">
        <w:rPr>
          <w:rFonts w:ascii="Times New Roman" w:hAnsi="Times New Roman" w:cs="Times New Roman"/>
          <w:i/>
          <w:spacing w:val="-2"/>
          <w:w w:val="108"/>
        </w:rPr>
        <w:t>s</w:t>
      </w:r>
      <w:r w:rsidRPr="00320ADF">
        <w:rPr>
          <w:rFonts w:ascii="Times New Roman" w:hAnsi="Times New Roman" w:cs="Times New Roman"/>
          <w:i/>
          <w:w w:val="107"/>
        </w:rPr>
        <w:t>ee</w:t>
      </w:r>
      <w:r w:rsidRPr="00320ADF">
        <w:rPr>
          <w:rFonts w:ascii="Times New Roman" w:hAnsi="Times New Roman" w:cs="Times New Roman"/>
          <w:i/>
          <w:spacing w:val="-12"/>
        </w:rPr>
        <w:t xml:space="preserve"> </w:t>
      </w:r>
      <w:r w:rsidRPr="00320ADF">
        <w:rPr>
          <w:rFonts w:ascii="Times New Roman" w:hAnsi="Times New Roman" w:cs="Times New Roman"/>
          <w:i/>
          <w:spacing w:val="-1"/>
          <w:w w:val="95"/>
        </w:rPr>
        <w:t>C</w:t>
      </w:r>
      <w:r w:rsidRPr="00320ADF">
        <w:rPr>
          <w:rFonts w:ascii="Times New Roman" w:hAnsi="Times New Roman" w:cs="Times New Roman"/>
          <w:i/>
          <w:w w:val="106"/>
        </w:rPr>
        <w:t>op</w:t>
      </w:r>
      <w:r w:rsidRPr="00320ADF">
        <w:rPr>
          <w:rFonts w:ascii="Times New Roman" w:hAnsi="Times New Roman" w:cs="Times New Roman"/>
          <w:i/>
          <w:spacing w:val="-2"/>
          <w:w w:val="106"/>
        </w:rPr>
        <w:t>p</w:t>
      </w:r>
      <w:r w:rsidRPr="00320ADF">
        <w:rPr>
          <w:rFonts w:ascii="Times New Roman" w:hAnsi="Times New Roman" w:cs="Times New Roman"/>
          <w:i/>
          <w:w w:val="101"/>
        </w:rPr>
        <w:t>er</w:t>
      </w:r>
      <w:r w:rsidRPr="00320ADF">
        <w:rPr>
          <w:rFonts w:ascii="Times New Roman" w:hAnsi="Times New Roman" w:cs="Times New Roman"/>
          <w:i/>
          <w:spacing w:val="-10"/>
        </w:rPr>
        <w:t xml:space="preserve"> </w:t>
      </w:r>
      <w:r w:rsidRPr="00320ADF">
        <w:rPr>
          <w:rFonts w:ascii="Times New Roman" w:hAnsi="Times New Roman" w:cs="Times New Roman"/>
          <w:i/>
          <w:spacing w:val="-1"/>
          <w:w w:val="95"/>
        </w:rPr>
        <w:t>C</w:t>
      </w:r>
      <w:r w:rsidRPr="00320ADF">
        <w:rPr>
          <w:rFonts w:ascii="Times New Roman" w:hAnsi="Times New Roman" w:cs="Times New Roman"/>
          <w:i/>
          <w:w w:val="106"/>
        </w:rPr>
        <w:t>o</w:t>
      </w:r>
      <w:r w:rsidRPr="00320ADF">
        <w:rPr>
          <w:rFonts w:ascii="Times New Roman" w:hAnsi="Times New Roman" w:cs="Times New Roman"/>
          <w:i/>
          <w:spacing w:val="-1"/>
          <w:w w:val="95"/>
        </w:rPr>
        <w:t>.</w:t>
      </w:r>
      <w:r w:rsidRPr="00320ADF">
        <w:rPr>
          <w:rFonts w:ascii="Times New Roman" w:hAnsi="Times New Roman" w:cs="Times New Roman"/>
          <w:spacing w:val="-1"/>
        </w:rPr>
        <w:t>,</w:t>
      </w:r>
      <w:r w:rsidRPr="00320ADF">
        <w:rPr>
          <w:rFonts w:ascii="Times New Roman" w:hAnsi="Times New Roman" w:cs="Times New Roman"/>
          <w:position w:val="10"/>
        </w:rPr>
        <w:t xml:space="preserve"> </w:t>
      </w:r>
      <w:r w:rsidRPr="00320ADF">
        <w:rPr>
          <w:rFonts w:ascii="Times New Roman" w:hAnsi="Times New Roman" w:cs="Times New Roman"/>
          <w:w w:val="110"/>
        </w:rPr>
        <w:t>the</w:t>
      </w:r>
      <w:r w:rsidR="00FD6CD6" w:rsidRPr="00320ADF">
        <w:rPr>
          <w:rFonts w:ascii="Times New Roman" w:hAnsi="Times New Roman" w:cs="Times New Roman"/>
          <w:w w:val="110"/>
        </w:rPr>
        <w:t xml:space="preserve"> Supreme</w:t>
      </w:r>
      <w:r w:rsidRPr="00320ADF">
        <w:rPr>
          <w:rFonts w:ascii="Times New Roman" w:hAnsi="Times New Roman" w:cs="Times New Roman"/>
          <w:spacing w:val="-10"/>
          <w:w w:val="110"/>
        </w:rPr>
        <w:t xml:space="preserve"> </w:t>
      </w:r>
      <w:r w:rsidRPr="00320ADF">
        <w:rPr>
          <w:rFonts w:ascii="Times New Roman" w:hAnsi="Times New Roman" w:cs="Times New Roman"/>
          <w:w w:val="110"/>
        </w:rPr>
        <w:t>Court</w:t>
      </w:r>
      <w:r w:rsidRPr="00320ADF">
        <w:rPr>
          <w:rFonts w:ascii="Times New Roman" w:hAnsi="Times New Roman" w:cs="Times New Roman"/>
          <w:spacing w:val="-10"/>
          <w:w w:val="110"/>
        </w:rPr>
        <w:t xml:space="preserve"> </w:t>
      </w:r>
      <w:r w:rsidR="00FD6CD6" w:rsidRPr="00320ADF">
        <w:rPr>
          <w:rFonts w:ascii="Times New Roman" w:hAnsi="Times New Roman" w:cs="Times New Roman"/>
          <w:w w:val="110"/>
        </w:rPr>
        <w:t>essentially proclaimed air as the people’s sovereign</w:t>
      </w:r>
      <w:r w:rsidR="00FD6CD6" w:rsidRPr="00320ADF">
        <w:rPr>
          <w:rFonts w:ascii="Times New Roman" w:hAnsi="Times New Roman" w:cs="Times New Roman"/>
          <w:spacing w:val="-11"/>
          <w:w w:val="110"/>
        </w:rPr>
        <w:t xml:space="preserve"> </w:t>
      </w:r>
      <w:r w:rsidR="00FD6CD6" w:rsidRPr="00320ADF">
        <w:rPr>
          <w:rFonts w:ascii="Times New Roman" w:hAnsi="Times New Roman" w:cs="Times New Roman"/>
          <w:w w:val="110"/>
        </w:rPr>
        <w:t>property, declar</w:t>
      </w:r>
      <w:r w:rsidR="00AF6642">
        <w:rPr>
          <w:rFonts w:ascii="Times New Roman" w:hAnsi="Times New Roman" w:cs="Times New Roman"/>
          <w:w w:val="110"/>
        </w:rPr>
        <w:t>ing</w:t>
      </w:r>
      <w:r w:rsidRPr="00320ADF">
        <w:rPr>
          <w:rFonts w:ascii="Times New Roman" w:hAnsi="Times New Roman" w:cs="Times New Roman"/>
          <w:w w:val="110"/>
        </w:rPr>
        <w:t>: “[T]he state has an interest independent of and behind the titles of its</w:t>
      </w:r>
      <w:r w:rsidRPr="00320ADF">
        <w:rPr>
          <w:rFonts w:ascii="Times New Roman" w:hAnsi="Times New Roman" w:cs="Times New Roman"/>
          <w:spacing w:val="-10"/>
          <w:w w:val="110"/>
        </w:rPr>
        <w:t xml:space="preserve"> </w:t>
      </w:r>
      <w:r w:rsidRPr="00320ADF">
        <w:rPr>
          <w:rFonts w:ascii="Times New Roman" w:hAnsi="Times New Roman" w:cs="Times New Roman"/>
          <w:w w:val="110"/>
        </w:rPr>
        <w:t>citizens,</w:t>
      </w:r>
      <w:r w:rsidRPr="00320ADF">
        <w:rPr>
          <w:rFonts w:ascii="Times New Roman" w:hAnsi="Times New Roman" w:cs="Times New Roman"/>
          <w:spacing w:val="-10"/>
          <w:w w:val="110"/>
        </w:rPr>
        <w:t xml:space="preserve"> </w:t>
      </w:r>
      <w:r w:rsidRPr="00320ADF">
        <w:rPr>
          <w:rFonts w:ascii="Times New Roman" w:hAnsi="Times New Roman" w:cs="Times New Roman"/>
          <w:w w:val="110"/>
        </w:rPr>
        <w:t>in</w:t>
      </w:r>
      <w:r w:rsidRPr="00320ADF">
        <w:rPr>
          <w:rFonts w:ascii="Times New Roman" w:hAnsi="Times New Roman" w:cs="Times New Roman"/>
          <w:spacing w:val="-10"/>
          <w:w w:val="110"/>
        </w:rPr>
        <w:t xml:space="preserve"> </w:t>
      </w:r>
      <w:r w:rsidRPr="00320ADF">
        <w:rPr>
          <w:rFonts w:ascii="Times New Roman" w:hAnsi="Times New Roman" w:cs="Times New Roman"/>
          <w:w w:val="110"/>
        </w:rPr>
        <w:t>all</w:t>
      </w:r>
      <w:r w:rsidRPr="00320ADF">
        <w:rPr>
          <w:rFonts w:ascii="Times New Roman" w:hAnsi="Times New Roman" w:cs="Times New Roman"/>
          <w:spacing w:val="-10"/>
          <w:w w:val="110"/>
        </w:rPr>
        <w:t xml:space="preserve"> </w:t>
      </w:r>
      <w:r w:rsidRPr="00320ADF">
        <w:rPr>
          <w:rFonts w:ascii="Times New Roman" w:hAnsi="Times New Roman" w:cs="Times New Roman"/>
          <w:w w:val="110"/>
        </w:rPr>
        <w:t>the</w:t>
      </w:r>
      <w:r w:rsidRPr="00320ADF">
        <w:rPr>
          <w:rFonts w:ascii="Times New Roman" w:hAnsi="Times New Roman" w:cs="Times New Roman"/>
          <w:spacing w:val="-11"/>
          <w:w w:val="110"/>
        </w:rPr>
        <w:t xml:space="preserve"> </w:t>
      </w:r>
      <w:r w:rsidRPr="00320ADF">
        <w:rPr>
          <w:rFonts w:ascii="Times New Roman" w:hAnsi="Times New Roman" w:cs="Times New Roman"/>
          <w:w w:val="110"/>
        </w:rPr>
        <w:t>earth</w:t>
      </w:r>
      <w:r w:rsidRPr="00320ADF">
        <w:rPr>
          <w:rFonts w:ascii="Times New Roman" w:hAnsi="Times New Roman" w:cs="Times New Roman"/>
          <w:spacing w:val="-10"/>
          <w:w w:val="110"/>
        </w:rPr>
        <w:t xml:space="preserve"> </w:t>
      </w:r>
      <w:r w:rsidRPr="00320ADF">
        <w:rPr>
          <w:rFonts w:ascii="Times New Roman" w:hAnsi="Times New Roman" w:cs="Times New Roman"/>
          <w:w w:val="110"/>
        </w:rPr>
        <w:t>and</w:t>
      </w:r>
      <w:r w:rsidRPr="00320ADF">
        <w:rPr>
          <w:rFonts w:ascii="Times New Roman" w:hAnsi="Times New Roman" w:cs="Times New Roman"/>
          <w:spacing w:val="-11"/>
          <w:w w:val="110"/>
        </w:rPr>
        <w:t xml:space="preserve"> </w:t>
      </w:r>
      <w:r w:rsidRPr="00320ADF">
        <w:rPr>
          <w:rFonts w:ascii="Times New Roman" w:hAnsi="Times New Roman" w:cs="Times New Roman"/>
          <w:w w:val="110"/>
        </w:rPr>
        <w:t>air</w:t>
      </w:r>
      <w:r w:rsidRPr="00320ADF">
        <w:rPr>
          <w:rFonts w:ascii="Times New Roman" w:hAnsi="Times New Roman" w:cs="Times New Roman"/>
          <w:spacing w:val="-10"/>
          <w:w w:val="110"/>
        </w:rPr>
        <w:t xml:space="preserve"> </w:t>
      </w:r>
      <w:r w:rsidRPr="00320ADF">
        <w:rPr>
          <w:rFonts w:ascii="Times New Roman" w:hAnsi="Times New Roman" w:cs="Times New Roman"/>
          <w:w w:val="110"/>
        </w:rPr>
        <w:t>within</w:t>
      </w:r>
      <w:r w:rsidRPr="00320ADF">
        <w:rPr>
          <w:rFonts w:ascii="Times New Roman" w:hAnsi="Times New Roman" w:cs="Times New Roman"/>
          <w:spacing w:val="-11"/>
          <w:w w:val="110"/>
        </w:rPr>
        <w:t xml:space="preserve"> </w:t>
      </w:r>
      <w:r w:rsidRPr="00320ADF">
        <w:rPr>
          <w:rFonts w:ascii="Times New Roman" w:hAnsi="Times New Roman" w:cs="Times New Roman"/>
          <w:w w:val="110"/>
        </w:rPr>
        <w:t>its</w:t>
      </w:r>
      <w:r w:rsidRPr="00320ADF">
        <w:rPr>
          <w:rFonts w:ascii="Times New Roman" w:hAnsi="Times New Roman" w:cs="Times New Roman"/>
          <w:spacing w:val="-9"/>
          <w:w w:val="110"/>
        </w:rPr>
        <w:t xml:space="preserve"> </w:t>
      </w:r>
      <w:r w:rsidRPr="00320ADF">
        <w:rPr>
          <w:rFonts w:ascii="Times New Roman" w:hAnsi="Times New Roman" w:cs="Times New Roman"/>
          <w:w w:val="110"/>
        </w:rPr>
        <w:t>domain.”</w:t>
      </w:r>
      <w:r w:rsidR="00101B5E" w:rsidRPr="00320ADF">
        <w:rPr>
          <w:rStyle w:val="FootnoteReference"/>
          <w:rFonts w:ascii="Times New Roman" w:hAnsi="Times New Roman" w:cs="Times New Roman"/>
          <w:spacing w:val="-1"/>
        </w:rPr>
        <w:footnoteReference w:id="32"/>
      </w:r>
      <w:r w:rsidR="000B7D9C" w:rsidRPr="00320ADF">
        <w:rPr>
          <w:rFonts w:ascii="Times New Roman" w:hAnsi="Times New Roman" w:cs="Times New Roman"/>
          <w:w w:val="110"/>
        </w:rPr>
        <w:t xml:space="preserve">While </w:t>
      </w:r>
      <w:r w:rsidR="008315D7" w:rsidRPr="00320ADF">
        <w:rPr>
          <w:rFonts w:ascii="Times New Roman" w:hAnsi="Times New Roman" w:cs="Times New Roman"/>
          <w:w w:val="110"/>
        </w:rPr>
        <w:t xml:space="preserve">courts </w:t>
      </w:r>
      <w:r w:rsidR="00D76A33" w:rsidRPr="00320ADF">
        <w:rPr>
          <w:rFonts w:ascii="Times New Roman" w:hAnsi="Times New Roman" w:cs="Times New Roman"/>
          <w:w w:val="110"/>
        </w:rPr>
        <w:t xml:space="preserve">historically </w:t>
      </w:r>
      <w:r w:rsidR="008315D7" w:rsidRPr="00320ADF">
        <w:rPr>
          <w:rFonts w:ascii="Times New Roman" w:hAnsi="Times New Roman" w:cs="Times New Roman"/>
          <w:w w:val="110"/>
        </w:rPr>
        <w:t xml:space="preserve">characterized the </w:t>
      </w:r>
      <w:r w:rsidR="000B7D9C" w:rsidRPr="00320ADF">
        <w:rPr>
          <w:rFonts w:ascii="Times New Roman" w:hAnsi="Times New Roman" w:cs="Times New Roman"/>
          <w:w w:val="110"/>
        </w:rPr>
        <w:t xml:space="preserve">scope of the trust </w:t>
      </w:r>
      <w:r w:rsidR="008315D7" w:rsidRPr="00320ADF">
        <w:rPr>
          <w:rFonts w:ascii="Times New Roman" w:hAnsi="Times New Roman" w:cs="Times New Roman"/>
          <w:w w:val="110"/>
        </w:rPr>
        <w:t xml:space="preserve">as encompassing </w:t>
      </w:r>
      <w:r w:rsidR="000B7D9C" w:rsidRPr="00320ADF">
        <w:rPr>
          <w:rFonts w:ascii="Times New Roman" w:hAnsi="Times New Roman" w:cs="Times New Roman"/>
          <w:w w:val="110"/>
        </w:rPr>
        <w:t xml:space="preserve">water resources and wildlife </w:t>
      </w:r>
      <w:r w:rsidR="000C52DE" w:rsidRPr="00320ADF">
        <w:rPr>
          <w:rFonts w:ascii="Times New Roman" w:hAnsi="Times New Roman" w:cs="Times New Roman"/>
          <w:w w:val="110"/>
        </w:rPr>
        <w:t>(</w:t>
      </w:r>
      <w:r w:rsidR="00E96CBB">
        <w:rPr>
          <w:rFonts w:ascii="Times New Roman" w:hAnsi="Times New Roman" w:cs="Times New Roman"/>
          <w:w w:val="110"/>
        </w:rPr>
        <w:t xml:space="preserve">likely focusing on </w:t>
      </w:r>
      <w:r w:rsidR="000B7D9C" w:rsidRPr="00320ADF">
        <w:rPr>
          <w:rFonts w:ascii="Times New Roman" w:hAnsi="Times New Roman" w:cs="Times New Roman"/>
          <w:w w:val="110"/>
        </w:rPr>
        <w:t xml:space="preserve">those </w:t>
      </w:r>
      <w:r w:rsidR="00E96CBB">
        <w:rPr>
          <w:rFonts w:ascii="Times New Roman" w:hAnsi="Times New Roman" w:cs="Times New Roman"/>
          <w:w w:val="110"/>
        </w:rPr>
        <w:t>because they were</w:t>
      </w:r>
      <w:r w:rsidR="006C4CDF" w:rsidRPr="00320ADF">
        <w:rPr>
          <w:rFonts w:ascii="Times New Roman" w:hAnsi="Times New Roman" w:cs="Times New Roman"/>
          <w:w w:val="110"/>
        </w:rPr>
        <w:t xml:space="preserve"> </w:t>
      </w:r>
      <w:r w:rsidR="000B7D9C" w:rsidRPr="00320ADF">
        <w:rPr>
          <w:rFonts w:ascii="Times New Roman" w:hAnsi="Times New Roman" w:cs="Times New Roman"/>
          <w:w w:val="110"/>
        </w:rPr>
        <w:t>frequen</w:t>
      </w:r>
      <w:r w:rsidR="008315D7" w:rsidRPr="00320ADF">
        <w:rPr>
          <w:rFonts w:ascii="Times New Roman" w:hAnsi="Times New Roman" w:cs="Times New Roman"/>
          <w:w w:val="110"/>
        </w:rPr>
        <w:t>tly</w:t>
      </w:r>
      <w:r w:rsidR="000B7D9C" w:rsidRPr="00320ADF">
        <w:rPr>
          <w:rFonts w:ascii="Times New Roman" w:hAnsi="Times New Roman" w:cs="Times New Roman"/>
          <w:w w:val="110"/>
        </w:rPr>
        <w:t xml:space="preserve"> litigated</w:t>
      </w:r>
      <w:r w:rsidR="000C52DE" w:rsidRPr="00320ADF">
        <w:rPr>
          <w:rFonts w:ascii="Times New Roman" w:hAnsi="Times New Roman" w:cs="Times New Roman"/>
          <w:w w:val="110"/>
        </w:rPr>
        <w:t>)</w:t>
      </w:r>
      <w:r w:rsidR="000B7D9C" w:rsidRPr="00320ADF">
        <w:rPr>
          <w:rFonts w:ascii="Times New Roman" w:hAnsi="Times New Roman" w:cs="Times New Roman"/>
          <w:w w:val="110"/>
        </w:rPr>
        <w:t xml:space="preserve">, </w:t>
      </w:r>
      <w:r w:rsidR="008315D7" w:rsidRPr="00320ADF">
        <w:rPr>
          <w:rFonts w:ascii="Times New Roman" w:hAnsi="Times New Roman" w:cs="Times New Roman"/>
          <w:w w:val="110"/>
        </w:rPr>
        <w:t>modern courts</w:t>
      </w:r>
      <w:r w:rsidRPr="00320ADF">
        <w:rPr>
          <w:rFonts w:ascii="Times New Roman" w:hAnsi="Times New Roman" w:cs="Times New Roman"/>
          <w:w w:val="110"/>
        </w:rPr>
        <w:t xml:space="preserve"> </w:t>
      </w:r>
      <w:r w:rsidR="008315D7" w:rsidRPr="00320ADF">
        <w:rPr>
          <w:rFonts w:ascii="Times New Roman" w:hAnsi="Times New Roman" w:cs="Times New Roman"/>
          <w:w w:val="110"/>
        </w:rPr>
        <w:t xml:space="preserve">have </w:t>
      </w:r>
      <w:r w:rsidR="00D76A33" w:rsidRPr="00320ADF">
        <w:rPr>
          <w:rFonts w:ascii="Times New Roman" w:hAnsi="Times New Roman" w:cs="Times New Roman"/>
          <w:w w:val="110"/>
        </w:rPr>
        <w:t>made clear</w:t>
      </w:r>
      <w:r w:rsidR="008315D7" w:rsidRPr="00320ADF">
        <w:rPr>
          <w:rFonts w:ascii="Times New Roman" w:hAnsi="Times New Roman" w:cs="Times New Roman"/>
          <w:w w:val="110"/>
        </w:rPr>
        <w:t xml:space="preserve"> </w:t>
      </w:r>
      <w:r w:rsidR="00E54667">
        <w:rPr>
          <w:rFonts w:ascii="Times New Roman" w:hAnsi="Times New Roman" w:cs="Times New Roman"/>
          <w:w w:val="110"/>
        </w:rPr>
        <w:t>t</w:t>
      </w:r>
      <w:r w:rsidR="006C4CDF" w:rsidRPr="00320ADF">
        <w:rPr>
          <w:rFonts w:ascii="Times New Roman" w:hAnsi="Times New Roman" w:cs="Times New Roman"/>
          <w:w w:val="110"/>
        </w:rPr>
        <w:t>he trust’s</w:t>
      </w:r>
      <w:r w:rsidR="008315D7" w:rsidRPr="00320ADF">
        <w:rPr>
          <w:rFonts w:ascii="Times New Roman" w:hAnsi="Times New Roman" w:cs="Times New Roman"/>
          <w:w w:val="110"/>
        </w:rPr>
        <w:t xml:space="preserve"> application to</w:t>
      </w:r>
      <w:r w:rsidRPr="00320ADF">
        <w:rPr>
          <w:rFonts w:ascii="Times New Roman" w:hAnsi="Times New Roman" w:cs="Times New Roman"/>
          <w:w w:val="110"/>
        </w:rPr>
        <w:t xml:space="preserve"> </w:t>
      </w:r>
      <w:r w:rsidR="008315D7" w:rsidRPr="00320ADF">
        <w:rPr>
          <w:rFonts w:ascii="Times New Roman" w:hAnsi="Times New Roman" w:cs="Times New Roman"/>
          <w:w w:val="110"/>
        </w:rPr>
        <w:t>a broad</w:t>
      </w:r>
      <w:r w:rsidR="00D4036B" w:rsidRPr="00320ADF">
        <w:rPr>
          <w:rFonts w:ascii="Times New Roman" w:hAnsi="Times New Roman" w:cs="Times New Roman"/>
          <w:w w:val="110"/>
        </w:rPr>
        <w:t>er</w:t>
      </w:r>
      <w:r w:rsidRPr="00320ADF">
        <w:rPr>
          <w:rFonts w:ascii="Times New Roman" w:hAnsi="Times New Roman" w:cs="Times New Roman"/>
          <w:w w:val="110"/>
        </w:rPr>
        <w:t xml:space="preserve"> array of natural resources crucial to societ</w:t>
      </w:r>
      <w:r w:rsidR="00D76A33" w:rsidRPr="00320ADF">
        <w:rPr>
          <w:rFonts w:ascii="Times New Roman" w:hAnsi="Times New Roman" w:cs="Times New Roman"/>
          <w:w w:val="110"/>
        </w:rPr>
        <w:t>y</w:t>
      </w:r>
      <w:r w:rsidR="008315D7" w:rsidRPr="00320ADF">
        <w:rPr>
          <w:rFonts w:ascii="Times New Roman" w:hAnsi="Times New Roman" w:cs="Times New Roman"/>
          <w:w w:val="110"/>
        </w:rPr>
        <w:t>.</w:t>
      </w:r>
      <w:r w:rsidRPr="00320ADF">
        <w:rPr>
          <w:rStyle w:val="FootnoteReference"/>
          <w:rFonts w:ascii="Times New Roman" w:hAnsi="Times New Roman" w:cs="Times New Roman"/>
          <w:w w:val="110"/>
        </w:rPr>
        <w:footnoteReference w:id="33"/>
      </w:r>
      <w:r w:rsidRPr="00320ADF">
        <w:rPr>
          <w:rFonts w:ascii="Times New Roman" w:hAnsi="Times New Roman" w:cs="Times New Roman"/>
          <w:w w:val="110"/>
        </w:rPr>
        <w:t xml:space="preserve">   Courts </w:t>
      </w:r>
      <w:r w:rsidR="00D76A33" w:rsidRPr="00320ADF">
        <w:rPr>
          <w:rFonts w:ascii="Times New Roman" w:hAnsi="Times New Roman" w:cs="Times New Roman"/>
          <w:w w:val="110"/>
        </w:rPr>
        <w:t>emphasize</w:t>
      </w:r>
      <w:r w:rsidRPr="00320ADF">
        <w:rPr>
          <w:rFonts w:ascii="Times New Roman" w:hAnsi="Times New Roman" w:cs="Times New Roman"/>
          <w:w w:val="110"/>
        </w:rPr>
        <w:t xml:space="preserve"> that this doctrine is not “fixed or static,” but instead “‘molded and extended to meet changing conditions and needs of the public it was created to benefit.’”</w:t>
      </w:r>
      <w:r w:rsidRPr="00320ADF">
        <w:rPr>
          <w:rStyle w:val="FootnoteReference"/>
          <w:rFonts w:ascii="Times New Roman" w:hAnsi="Times New Roman" w:cs="Times New Roman"/>
          <w:w w:val="110"/>
        </w:rPr>
        <w:footnoteReference w:id="34"/>
      </w:r>
      <w:r w:rsidR="00431D60">
        <w:rPr>
          <w:rFonts w:ascii="Times New Roman" w:hAnsi="Times New Roman" w:cs="Times New Roman"/>
          <w:w w:val="110"/>
          <w:position w:val="10"/>
        </w:rPr>
        <w:t xml:space="preserve">  </w:t>
      </w:r>
      <w:r w:rsidRPr="00320ADF">
        <w:rPr>
          <w:rFonts w:ascii="Times New Roman" w:hAnsi="Times New Roman" w:cs="Times New Roman"/>
          <w:w w:val="110"/>
        </w:rPr>
        <w:t xml:space="preserve">Several courts and commentators now </w:t>
      </w:r>
      <w:r w:rsidR="00D4036B" w:rsidRPr="00320ADF">
        <w:rPr>
          <w:rFonts w:ascii="Times New Roman" w:hAnsi="Times New Roman" w:cs="Times New Roman"/>
          <w:w w:val="110"/>
        </w:rPr>
        <w:t>include</w:t>
      </w:r>
      <w:r w:rsidRPr="00320ADF">
        <w:rPr>
          <w:rFonts w:ascii="Times New Roman" w:hAnsi="Times New Roman" w:cs="Times New Roman"/>
          <w:w w:val="110"/>
        </w:rPr>
        <w:t xml:space="preserve"> air and atmosphere </w:t>
      </w:r>
      <w:r w:rsidR="00D4036B" w:rsidRPr="00320ADF">
        <w:rPr>
          <w:rFonts w:ascii="Times New Roman" w:hAnsi="Times New Roman" w:cs="Times New Roman"/>
          <w:w w:val="110"/>
        </w:rPr>
        <w:t>within the ambit of</w:t>
      </w:r>
      <w:r w:rsidRPr="00320ADF">
        <w:rPr>
          <w:rFonts w:ascii="Times New Roman" w:hAnsi="Times New Roman" w:cs="Times New Roman"/>
          <w:w w:val="110"/>
        </w:rPr>
        <w:t xml:space="preserve"> public trust </w:t>
      </w:r>
      <w:r w:rsidR="00917647" w:rsidRPr="00320ADF">
        <w:rPr>
          <w:rFonts w:ascii="Times New Roman" w:hAnsi="Times New Roman" w:cs="Times New Roman"/>
          <w:w w:val="110"/>
        </w:rPr>
        <w:t>protection</w:t>
      </w:r>
      <w:r w:rsidRPr="00320ADF">
        <w:rPr>
          <w:rFonts w:ascii="Times New Roman" w:hAnsi="Times New Roman" w:cs="Times New Roman"/>
          <w:w w:val="110"/>
        </w:rPr>
        <w:t>,</w:t>
      </w:r>
      <w:r w:rsidRPr="00320ADF">
        <w:rPr>
          <w:rFonts w:ascii="Times New Roman" w:hAnsi="Times New Roman" w:cs="Times New Roman"/>
          <w:w w:val="110"/>
          <w:position w:val="10"/>
        </w:rPr>
        <w:t xml:space="preserve"> </w:t>
      </w:r>
      <w:r w:rsidRPr="00320ADF">
        <w:rPr>
          <w:rFonts w:ascii="Times New Roman" w:hAnsi="Times New Roman" w:cs="Times New Roman"/>
          <w:w w:val="110"/>
        </w:rPr>
        <w:t xml:space="preserve">and numerous constitutions and statutes in the United States </w:t>
      </w:r>
      <w:r w:rsidR="000C52DE" w:rsidRPr="00320ADF">
        <w:rPr>
          <w:rFonts w:ascii="Times New Roman" w:hAnsi="Times New Roman" w:cs="Times New Roman"/>
          <w:w w:val="114"/>
        </w:rPr>
        <w:t>do the same</w:t>
      </w:r>
      <w:r w:rsidRPr="00320ADF">
        <w:rPr>
          <w:rFonts w:ascii="Times New Roman" w:hAnsi="Times New Roman" w:cs="Times New Roman"/>
          <w:i/>
          <w:w w:val="95"/>
        </w:rPr>
        <w:t>.</w:t>
      </w:r>
      <w:r w:rsidR="00ED3387" w:rsidRPr="00320ADF">
        <w:rPr>
          <w:rStyle w:val="FootnoteReference"/>
          <w:rFonts w:ascii="Times New Roman" w:hAnsi="Times New Roman" w:cs="Times New Roman"/>
          <w:w w:val="110"/>
        </w:rPr>
        <w:footnoteReference w:id="35"/>
      </w:r>
      <w:r w:rsidRPr="00320ADF">
        <w:rPr>
          <w:rFonts w:ascii="Times New Roman" w:hAnsi="Times New Roman" w:cs="Times New Roman"/>
          <w:position w:val="10"/>
        </w:rPr>
        <w:t xml:space="preserve">    </w:t>
      </w:r>
    </w:p>
    <w:p w:rsidR="00B3013B" w:rsidRPr="00320ADF" w:rsidRDefault="00A21B72" w:rsidP="00B3013B">
      <w:pPr>
        <w:spacing w:line="477" w:lineRule="auto"/>
        <w:ind w:left="120" w:right="239" w:firstLine="720"/>
        <w:jc w:val="both"/>
        <w:rPr>
          <w:rFonts w:ascii="Times New Roman" w:hAnsi="Times New Roman" w:cs="Times New Roman"/>
        </w:rPr>
      </w:pPr>
      <w:r>
        <w:rPr>
          <w:rFonts w:ascii="Times New Roman" w:hAnsi="Times New Roman" w:cs="Times New Roman"/>
          <w:w w:val="110"/>
        </w:rPr>
        <w:t>Judges</w:t>
      </w:r>
      <w:r w:rsidR="00B3013B" w:rsidRPr="00320ADF">
        <w:rPr>
          <w:rFonts w:ascii="Times New Roman" w:hAnsi="Times New Roman" w:cs="Times New Roman"/>
          <w:w w:val="110"/>
        </w:rPr>
        <w:t xml:space="preserve"> in </w:t>
      </w:r>
      <w:r>
        <w:rPr>
          <w:rFonts w:ascii="Times New Roman" w:hAnsi="Times New Roman" w:cs="Times New Roman"/>
          <w:w w:val="110"/>
        </w:rPr>
        <w:t>two</w:t>
      </w:r>
      <w:r w:rsidR="00B3013B" w:rsidRPr="00320ADF">
        <w:rPr>
          <w:rFonts w:ascii="Times New Roman" w:hAnsi="Times New Roman" w:cs="Times New Roman"/>
          <w:w w:val="110"/>
        </w:rPr>
        <w:t xml:space="preserve"> notable ATL climate cases have </w:t>
      </w:r>
      <w:r w:rsidR="00D4036B" w:rsidRPr="00320ADF">
        <w:rPr>
          <w:rFonts w:ascii="Times New Roman" w:hAnsi="Times New Roman" w:cs="Times New Roman"/>
          <w:w w:val="110"/>
        </w:rPr>
        <w:t>extended</w:t>
      </w:r>
      <w:r w:rsidR="00B3013B" w:rsidRPr="00320ADF">
        <w:rPr>
          <w:rFonts w:ascii="Times New Roman" w:hAnsi="Times New Roman" w:cs="Times New Roman"/>
          <w:w w:val="110"/>
        </w:rPr>
        <w:t xml:space="preserve"> public trust to protect</w:t>
      </w:r>
      <w:r w:rsidR="00D4036B" w:rsidRPr="00320ADF">
        <w:rPr>
          <w:rFonts w:ascii="Times New Roman" w:hAnsi="Times New Roman" w:cs="Times New Roman"/>
          <w:w w:val="110"/>
        </w:rPr>
        <w:t>ion to</w:t>
      </w:r>
      <w:r w:rsidR="00B3013B" w:rsidRPr="00320ADF">
        <w:rPr>
          <w:rFonts w:ascii="Times New Roman" w:hAnsi="Times New Roman" w:cs="Times New Roman"/>
          <w:w w:val="110"/>
        </w:rPr>
        <w:t xml:space="preserve"> the atmosphere an</w:t>
      </w:r>
      <w:r w:rsidR="000C52DE" w:rsidRPr="00320ADF">
        <w:rPr>
          <w:rFonts w:ascii="Times New Roman" w:hAnsi="Times New Roman" w:cs="Times New Roman"/>
          <w:w w:val="110"/>
        </w:rPr>
        <w:t>d</w:t>
      </w:r>
      <w:r w:rsidR="00B3013B" w:rsidRPr="00320ADF">
        <w:rPr>
          <w:rFonts w:ascii="Times New Roman" w:hAnsi="Times New Roman" w:cs="Times New Roman"/>
          <w:w w:val="110"/>
        </w:rPr>
        <w:t xml:space="preserve"> climate system.  As the court in </w:t>
      </w:r>
      <w:r w:rsidR="00B3013B" w:rsidRPr="00320ADF">
        <w:rPr>
          <w:rFonts w:ascii="Times New Roman" w:hAnsi="Times New Roman" w:cs="Times New Roman"/>
          <w:i/>
          <w:iCs/>
          <w:w w:val="110"/>
        </w:rPr>
        <w:t xml:space="preserve">Foster </w:t>
      </w:r>
      <w:r w:rsidR="008756A1">
        <w:rPr>
          <w:rFonts w:ascii="Times New Roman" w:hAnsi="Times New Roman" w:cs="Times New Roman"/>
          <w:i/>
          <w:iCs/>
          <w:w w:val="110"/>
        </w:rPr>
        <w:t xml:space="preserve">v. Dep’t of Ecology </w:t>
      </w:r>
      <w:r w:rsidR="00B3013B" w:rsidRPr="00320ADF">
        <w:rPr>
          <w:rFonts w:ascii="Times New Roman" w:hAnsi="Times New Roman" w:cs="Times New Roman"/>
          <w:w w:val="110"/>
        </w:rPr>
        <w:t>recognized,</w:t>
      </w:r>
      <w:r w:rsidR="00B3013B" w:rsidRPr="00320ADF">
        <w:rPr>
          <w:rFonts w:ascii="Times New Roman" w:hAnsi="Times New Roman" w:cs="Times New Roman"/>
        </w:rPr>
        <w:t xml:space="preserve"> the atmosphere </w:t>
      </w:r>
      <w:r w:rsidR="00C11C10" w:rsidRPr="00320ADF">
        <w:rPr>
          <w:rFonts w:ascii="Times New Roman" w:hAnsi="Times New Roman" w:cs="Times New Roman"/>
        </w:rPr>
        <w:t xml:space="preserve">is </w:t>
      </w:r>
      <w:r w:rsidR="000C52DE" w:rsidRPr="00320ADF">
        <w:rPr>
          <w:rFonts w:ascii="Times New Roman" w:hAnsi="Times New Roman" w:cs="Times New Roman"/>
        </w:rPr>
        <w:t xml:space="preserve">inextricably connected to </w:t>
      </w:r>
      <w:r w:rsidR="00B3013B" w:rsidRPr="00320ADF">
        <w:rPr>
          <w:rFonts w:ascii="Times New Roman" w:hAnsi="Times New Roman" w:cs="Times New Roman"/>
        </w:rPr>
        <w:t>submerged lands</w:t>
      </w:r>
      <w:r w:rsidR="00E96CBB">
        <w:rPr>
          <w:rFonts w:ascii="Times New Roman" w:hAnsi="Times New Roman" w:cs="Times New Roman"/>
        </w:rPr>
        <w:t>, which</w:t>
      </w:r>
      <w:r w:rsidR="00B3013B" w:rsidRPr="00320ADF">
        <w:rPr>
          <w:rFonts w:ascii="Times New Roman" w:hAnsi="Times New Roman" w:cs="Times New Roman"/>
        </w:rPr>
        <w:t xml:space="preserve"> </w:t>
      </w:r>
      <w:r w:rsidR="00E96CBB">
        <w:rPr>
          <w:rFonts w:ascii="Times New Roman" w:hAnsi="Times New Roman" w:cs="Times New Roman"/>
        </w:rPr>
        <w:t xml:space="preserve">are </w:t>
      </w:r>
      <w:r w:rsidR="00B3013B" w:rsidRPr="00320ADF">
        <w:rPr>
          <w:rFonts w:ascii="Times New Roman" w:hAnsi="Times New Roman" w:cs="Times New Roman"/>
        </w:rPr>
        <w:t xml:space="preserve">traditionally </w:t>
      </w:r>
      <w:r w:rsidR="000C52DE" w:rsidRPr="00320ADF">
        <w:rPr>
          <w:rFonts w:ascii="Times New Roman" w:hAnsi="Times New Roman" w:cs="Times New Roman"/>
        </w:rPr>
        <w:t xml:space="preserve">and unequivocally </w:t>
      </w:r>
      <w:r w:rsidR="00B3013B" w:rsidRPr="00320ADF">
        <w:rPr>
          <w:rFonts w:ascii="Times New Roman" w:hAnsi="Times New Roman" w:cs="Times New Roman"/>
        </w:rPr>
        <w:t>subject to the trust (“. . . to argue that GHG emissions do not affect navigable waters is nonsensical. . .”).</w:t>
      </w:r>
      <w:r w:rsidR="005039D1">
        <w:rPr>
          <w:rStyle w:val="FootnoteReference"/>
          <w:rFonts w:ascii="Times New Roman" w:hAnsi="Times New Roman" w:cs="Times New Roman"/>
        </w:rPr>
        <w:footnoteReference w:id="36"/>
      </w:r>
      <w:r w:rsidR="00B3013B" w:rsidRPr="00320ADF">
        <w:rPr>
          <w:rFonts w:ascii="Times New Roman" w:hAnsi="Times New Roman" w:cs="Times New Roman"/>
        </w:rPr>
        <w:t xml:space="preserve">  The</w:t>
      </w:r>
      <w:r w:rsidR="00B3013B" w:rsidRPr="00320ADF">
        <w:rPr>
          <w:rFonts w:ascii="Times New Roman" w:hAnsi="Times New Roman" w:cs="Times New Roman"/>
          <w:spacing w:val="-12"/>
        </w:rPr>
        <w:t xml:space="preserve"> </w:t>
      </w:r>
      <w:r w:rsidR="00B3013B" w:rsidRPr="00320ADF">
        <w:rPr>
          <w:rFonts w:ascii="Times New Roman" w:hAnsi="Times New Roman" w:cs="Times New Roman"/>
          <w:i/>
        </w:rPr>
        <w:t>Juliana</w:t>
      </w:r>
      <w:r w:rsidR="00B3013B" w:rsidRPr="00320ADF">
        <w:rPr>
          <w:rFonts w:ascii="Times New Roman" w:hAnsi="Times New Roman" w:cs="Times New Roman"/>
          <w:i/>
          <w:spacing w:val="-13"/>
        </w:rPr>
        <w:t xml:space="preserve"> </w:t>
      </w:r>
      <w:r w:rsidR="00B3013B" w:rsidRPr="00320ADF">
        <w:rPr>
          <w:rFonts w:ascii="Times New Roman" w:hAnsi="Times New Roman" w:cs="Times New Roman"/>
        </w:rPr>
        <w:t xml:space="preserve">court adopted the same reasoning when it held that atmospheric protection </w:t>
      </w:r>
      <w:r w:rsidR="000C52DE" w:rsidRPr="00320ADF">
        <w:rPr>
          <w:rFonts w:ascii="Times New Roman" w:hAnsi="Times New Roman" w:cs="Times New Roman"/>
        </w:rPr>
        <w:t>remains</w:t>
      </w:r>
      <w:r w:rsidR="00B3013B" w:rsidRPr="00320ADF">
        <w:rPr>
          <w:rFonts w:ascii="Times New Roman" w:hAnsi="Times New Roman" w:cs="Times New Roman"/>
        </w:rPr>
        <w:t xml:space="preserve"> crucial to sustaining ocean and shoreline trust resources.</w:t>
      </w:r>
      <w:r w:rsidR="00B3013B" w:rsidRPr="00320ADF">
        <w:rPr>
          <w:rStyle w:val="FootnoteReference"/>
          <w:rFonts w:ascii="Times New Roman" w:hAnsi="Times New Roman" w:cs="Times New Roman"/>
        </w:rPr>
        <w:footnoteReference w:id="37"/>
      </w:r>
    </w:p>
    <w:p w:rsidR="00B3013B" w:rsidRPr="00320ADF" w:rsidRDefault="00B3013B" w:rsidP="00231DA1">
      <w:pPr>
        <w:pStyle w:val="BodyText"/>
        <w:spacing w:before="1" w:line="480" w:lineRule="auto"/>
        <w:ind w:firstLine="720"/>
        <w:jc w:val="both"/>
      </w:pPr>
      <w:r w:rsidRPr="00320ADF">
        <w:rPr>
          <w:w w:val="110"/>
        </w:rPr>
        <w:lastRenderedPageBreak/>
        <w:t xml:space="preserve">But despite the essential role of air and atmosphere, </w:t>
      </w:r>
      <w:r w:rsidR="000C6FFE">
        <w:rPr>
          <w:w w:val="110"/>
        </w:rPr>
        <w:t>scant</w:t>
      </w:r>
      <w:r w:rsidRPr="00320ADF">
        <w:rPr>
          <w:w w:val="110"/>
        </w:rPr>
        <w:t xml:space="preserve"> litigation </w:t>
      </w:r>
      <w:r w:rsidR="00C11C10" w:rsidRPr="00320ADF">
        <w:rPr>
          <w:w w:val="110"/>
        </w:rPr>
        <w:t>has sought to recover</w:t>
      </w:r>
      <w:r w:rsidRPr="00320ADF">
        <w:rPr>
          <w:w w:val="110"/>
        </w:rPr>
        <w:t xml:space="preserve"> NRDs </w:t>
      </w:r>
      <w:r w:rsidR="00C11C10" w:rsidRPr="00320ADF">
        <w:rPr>
          <w:w w:val="110"/>
        </w:rPr>
        <w:t xml:space="preserve">for </w:t>
      </w:r>
      <w:r w:rsidR="00CE6C23" w:rsidRPr="00320ADF">
        <w:rPr>
          <w:w w:val="110"/>
        </w:rPr>
        <w:t>air pollution</w:t>
      </w:r>
      <w:r w:rsidRPr="00320ADF">
        <w:rPr>
          <w:w w:val="110"/>
        </w:rPr>
        <w:t xml:space="preserve">. </w:t>
      </w:r>
      <w:r w:rsidR="00C11C10" w:rsidRPr="00320ADF">
        <w:rPr>
          <w:w w:val="110"/>
        </w:rPr>
        <w:t xml:space="preserve"> </w:t>
      </w:r>
      <w:r w:rsidRPr="00320ADF">
        <w:rPr>
          <w:w w:val="110"/>
        </w:rPr>
        <w:t xml:space="preserve">The obvious reason </w:t>
      </w:r>
      <w:r w:rsidR="00EA3E6D" w:rsidRPr="00320ADF">
        <w:rPr>
          <w:w w:val="110"/>
        </w:rPr>
        <w:t>is</w:t>
      </w:r>
      <w:r w:rsidRPr="00320ADF">
        <w:rPr>
          <w:w w:val="110"/>
        </w:rPr>
        <w:t xml:space="preserve"> because air pollution </w:t>
      </w:r>
      <w:r w:rsidR="00EC122B" w:rsidRPr="00320ADF">
        <w:rPr>
          <w:w w:val="110"/>
        </w:rPr>
        <w:t xml:space="preserve">(unlike an oil spill) </w:t>
      </w:r>
      <w:r w:rsidR="00ED152B" w:rsidRPr="00320ADF">
        <w:rPr>
          <w:w w:val="110"/>
        </w:rPr>
        <w:t xml:space="preserve">quickly </w:t>
      </w:r>
      <w:r w:rsidRPr="00320ADF">
        <w:rPr>
          <w:w w:val="110"/>
        </w:rPr>
        <w:t>dissipates</w:t>
      </w:r>
      <w:r w:rsidR="00EC122B" w:rsidRPr="00320ADF">
        <w:rPr>
          <w:w w:val="110"/>
        </w:rPr>
        <w:t xml:space="preserve"> from the immediate area of impact</w:t>
      </w:r>
      <w:r w:rsidR="00EA3E6D" w:rsidRPr="00320ADF">
        <w:rPr>
          <w:w w:val="110"/>
        </w:rPr>
        <w:t xml:space="preserve">, </w:t>
      </w:r>
      <w:r w:rsidR="00CE6C23" w:rsidRPr="00320ADF">
        <w:rPr>
          <w:w w:val="110"/>
        </w:rPr>
        <w:t>obviating</w:t>
      </w:r>
      <w:r w:rsidR="00EA3E6D" w:rsidRPr="00320ADF">
        <w:rPr>
          <w:w w:val="110"/>
        </w:rPr>
        <w:t xml:space="preserve"> </w:t>
      </w:r>
      <w:r w:rsidR="00CE6C23" w:rsidRPr="00320ADF">
        <w:rPr>
          <w:w w:val="110"/>
        </w:rPr>
        <w:t>clean</w:t>
      </w:r>
      <w:r w:rsidR="00EC122B" w:rsidRPr="00320ADF">
        <w:rPr>
          <w:w w:val="110"/>
        </w:rPr>
        <w:t>-</w:t>
      </w:r>
      <w:r w:rsidR="00CE6C23" w:rsidRPr="00320ADF">
        <w:rPr>
          <w:w w:val="110"/>
        </w:rPr>
        <w:t>up</w:t>
      </w:r>
      <w:r w:rsidRPr="00320ADF">
        <w:rPr>
          <w:w w:val="110"/>
        </w:rPr>
        <w:t>.</w:t>
      </w:r>
      <w:r w:rsidRPr="00320ADF">
        <w:rPr>
          <w:rStyle w:val="FootnoteReference"/>
          <w:w w:val="110"/>
        </w:rPr>
        <w:footnoteReference w:id="38"/>
      </w:r>
      <w:r w:rsidRPr="00320ADF">
        <w:rPr>
          <w:w w:val="110"/>
          <w:position w:val="10"/>
        </w:rPr>
        <w:t xml:space="preserve"> </w:t>
      </w:r>
      <w:r w:rsidRPr="00320ADF">
        <w:rPr>
          <w:i/>
          <w:iCs/>
          <w:w w:val="110"/>
        </w:rPr>
        <w:t>Atmospheric</w:t>
      </w:r>
      <w:r w:rsidRPr="00320ADF">
        <w:rPr>
          <w:w w:val="110"/>
        </w:rPr>
        <w:t xml:space="preserve"> GHG pollution, however, presents a different matter. </w:t>
      </w:r>
      <w:r w:rsidR="00ED152B" w:rsidRPr="00320ADF">
        <w:rPr>
          <w:w w:val="110"/>
        </w:rPr>
        <w:t xml:space="preserve"> </w:t>
      </w:r>
      <w:r w:rsidR="00EA3E6D" w:rsidRPr="00320ADF">
        <w:rPr>
          <w:w w:val="110"/>
        </w:rPr>
        <w:t>The atmosphere accumulates GHGs</w:t>
      </w:r>
      <w:r w:rsidR="00231DA1" w:rsidRPr="00320ADF">
        <w:rPr>
          <w:w w:val="110"/>
        </w:rPr>
        <w:t xml:space="preserve">, </w:t>
      </w:r>
      <w:r w:rsidR="00EC122B" w:rsidRPr="00320ADF">
        <w:rPr>
          <w:w w:val="110"/>
        </w:rPr>
        <w:t xml:space="preserve">showing </w:t>
      </w:r>
      <w:r w:rsidR="00231DA1" w:rsidRPr="00320ADF">
        <w:rPr>
          <w:w w:val="110"/>
        </w:rPr>
        <w:t xml:space="preserve">increasing </w:t>
      </w:r>
      <w:r w:rsidR="00EA3E6D" w:rsidRPr="00320ADF">
        <w:rPr>
          <w:w w:val="110"/>
        </w:rPr>
        <w:t>co</w:t>
      </w:r>
      <w:r w:rsidRPr="00320ADF">
        <w:rPr>
          <w:w w:val="110"/>
        </w:rPr>
        <w:t xml:space="preserve">ncentrations </w:t>
      </w:r>
      <w:r w:rsidR="00231DA1" w:rsidRPr="00320ADF">
        <w:rPr>
          <w:w w:val="110"/>
        </w:rPr>
        <w:t xml:space="preserve">that are </w:t>
      </w:r>
      <w:r w:rsidR="00EC122B" w:rsidRPr="00320ADF">
        <w:rPr>
          <w:w w:val="110"/>
        </w:rPr>
        <w:t>precisely</w:t>
      </w:r>
      <w:r w:rsidR="00231DA1" w:rsidRPr="00320ADF">
        <w:rPr>
          <w:w w:val="110"/>
        </w:rPr>
        <w:t xml:space="preserve"> </w:t>
      </w:r>
      <w:r w:rsidR="00917647" w:rsidRPr="00320ADF">
        <w:rPr>
          <w:w w:val="110"/>
        </w:rPr>
        <w:t>monitored</w:t>
      </w:r>
      <w:r w:rsidRPr="00320ADF">
        <w:rPr>
          <w:w w:val="110"/>
        </w:rPr>
        <w:t>.</w:t>
      </w:r>
      <w:r w:rsidRPr="00320ADF">
        <w:rPr>
          <w:rStyle w:val="FootnoteReference"/>
          <w:w w:val="110"/>
        </w:rPr>
        <w:footnoteReference w:id="39"/>
      </w:r>
      <w:r w:rsidRPr="00320ADF">
        <w:rPr>
          <w:w w:val="110"/>
          <w:position w:val="10"/>
        </w:rPr>
        <w:t xml:space="preserve"> </w:t>
      </w:r>
      <w:r w:rsidR="007D0F77" w:rsidRPr="00320ADF">
        <w:rPr>
          <w:w w:val="110"/>
          <w:position w:val="10"/>
        </w:rPr>
        <w:t xml:space="preserve"> </w:t>
      </w:r>
      <w:r w:rsidR="00DF6FA9" w:rsidRPr="00320ADF">
        <w:rPr>
          <w:w w:val="110"/>
        </w:rPr>
        <w:t xml:space="preserve">The </w:t>
      </w:r>
      <w:r w:rsidR="007D0F77" w:rsidRPr="00320ADF">
        <w:rPr>
          <w:w w:val="110"/>
        </w:rPr>
        <w:t xml:space="preserve">excess of </w:t>
      </w:r>
      <w:r w:rsidR="00DF6FA9" w:rsidRPr="00320ADF">
        <w:rPr>
          <w:w w:val="110"/>
        </w:rPr>
        <w:t xml:space="preserve">atmospheric </w:t>
      </w:r>
      <w:r w:rsidR="003360E6" w:rsidRPr="00320ADF">
        <w:rPr>
          <w:w w:val="110"/>
        </w:rPr>
        <w:t>CO</w:t>
      </w:r>
      <w:r w:rsidR="003360E6" w:rsidRPr="00410451">
        <w:rPr>
          <w:w w:val="110"/>
          <w:vertAlign w:val="subscript"/>
        </w:rPr>
        <w:t>2</w:t>
      </w:r>
      <w:r w:rsidR="003360E6">
        <w:rPr>
          <w:w w:val="110"/>
          <w:vertAlign w:val="subscript"/>
        </w:rPr>
        <w:t xml:space="preserve"> </w:t>
      </w:r>
      <w:r w:rsidR="007D0F77" w:rsidRPr="00320ADF">
        <w:rPr>
          <w:w w:val="110"/>
        </w:rPr>
        <w:t xml:space="preserve">(beyond pre-Industrial levels) </w:t>
      </w:r>
      <w:r w:rsidR="00A13741" w:rsidRPr="00320ADF">
        <w:rPr>
          <w:w w:val="110"/>
        </w:rPr>
        <w:t>requiring</w:t>
      </w:r>
      <w:r w:rsidR="00DF6FA9" w:rsidRPr="00320ADF">
        <w:rPr>
          <w:w w:val="110"/>
        </w:rPr>
        <w:t xml:space="preserve"> drawdown is</w:t>
      </w:r>
      <w:r w:rsidR="007D0F77" w:rsidRPr="00320ADF">
        <w:rPr>
          <w:w w:val="110"/>
        </w:rPr>
        <w:t xml:space="preserve"> about 150 </w:t>
      </w:r>
      <w:proofErr w:type="spellStart"/>
      <w:r w:rsidR="007D0F77" w:rsidRPr="00320ADF">
        <w:rPr>
          <w:w w:val="110"/>
        </w:rPr>
        <w:t>Gt</w:t>
      </w:r>
      <w:r w:rsidR="00E96CBB">
        <w:rPr>
          <w:w w:val="110"/>
        </w:rPr>
        <w:t>C</w:t>
      </w:r>
      <w:proofErr w:type="spellEnd"/>
      <w:r w:rsidR="007D0F77" w:rsidRPr="00320ADF">
        <w:rPr>
          <w:w w:val="110"/>
        </w:rPr>
        <w:t>.</w:t>
      </w:r>
      <w:r w:rsidR="00231DA1" w:rsidRPr="00320ADF">
        <w:rPr>
          <w:rStyle w:val="FootnoteReference"/>
          <w:w w:val="110"/>
        </w:rPr>
        <w:footnoteReference w:id="40"/>
      </w:r>
      <w:r w:rsidR="007D0F77" w:rsidRPr="00320ADF">
        <w:rPr>
          <w:w w:val="110"/>
        </w:rPr>
        <w:t xml:space="preserve">  </w:t>
      </w:r>
      <w:r w:rsidR="00E96CBB">
        <w:rPr>
          <w:w w:val="110"/>
        </w:rPr>
        <w:t>Carbon dioxide pollution</w:t>
      </w:r>
      <w:r w:rsidR="00A13741" w:rsidRPr="00320ADF">
        <w:rPr>
          <w:w w:val="110"/>
        </w:rPr>
        <w:t xml:space="preserve"> </w:t>
      </w:r>
      <w:r w:rsidR="00E96CBB">
        <w:rPr>
          <w:w w:val="110"/>
        </w:rPr>
        <w:t xml:space="preserve">to the </w:t>
      </w:r>
      <w:r w:rsidR="00A13741" w:rsidRPr="00320ADF">
        <w:rPr>
          <w:w w:val="110"/>
        </w:rPr>
        <w:t>global atmospher</w:t>
      </w:r>
      <w:r w:rsidR="00E96CBB">
        <w:rPr>
          <w:w w:val="110"/>
        </w:rPr>
        <w:t>e is measurable, just as oil spilled in</w:t>
      </w:r>
      <w:r w:rsidRPr="00320ADF">
        <w:rPr>
          <w:w w:val="110"/>
        </w:rPr>
        <w:t xml:space="preserve"> </w:t>
      </w:r>
      <w:r w:rsidR="00A13741" w:rsidRPr="00320ADF">
        <w:rPr>
          <w:w w:val="110"/>
        </w:rPr>
        <w:t>marine waters</w:t>
      </w:r>
      <w:r w:rsidR="00E96CBB">
        <w:rPr>
          <w:w w:val="110"/>
        </w:rPr>
        <w:t xml:space="preserve"> is measurable</w:t>
      </w:r>
      <w:r w:rsidRPr="00320ADF">
        <w:rPr>
          <w:w w:val="110"/>
        </w:rPr>
        <w:t xml:space="preserve">.  </w:t>
      </w:r>
    </w:p>
    <w:p w:rsidR="00B3013B" w:rsidRPr="00320ADF" w:rsidRDefault="00B3013B" w:rsidP="005F2650">
      <w:pPr>
        <w:pStyle w:val="ListParagraph"/>
        <w:numPr>
          <w:ilvl w:val="0"/>
          <w:numId w:val="33"/>
        </w:numPr>
        <w:spacing w:line="480" w:lineRule="auto"/>
        <w:jc w:val="both"/>
        <w:rPr>
          <w:b/>
          <w:bCs/>
        </w:rPr>
      </w:pPr>
      <w:r w:rsidRPr="00320ADF">
        <w:rPr>
          <w:b/>
          <w:bCs/>
        </w:rPr>
        <w:t>THE SOVEREIGN CO-TRUSTEES</w:t>
      </w:r>
    </w:p>
    <w:p w:rsidR="00B3013B" w:rsidRPr="00320ADF" w:rsidRDefault="00B3013B" w:rsidP="00B3013B">
      <w:pPr>
        <w:pStyle w:val="BodyText"/>
        <w:spacing w:before="203" w:line="480" w:lineRule="auto"/>
        <w:ind w:right="-30" w:firstLine="720"/>
        <w:jc w:val="both"/>
      </w:pPr>
      <w:r w:rsidRPr="00320ADF">
        <w:rPr>
          <w:w w:val="110"/>
        </w:rPr>
        <w:t>Because the atmosphere is a global resource, there is not one trustee, but rather multiple co-trustees</w:t>
      </w:r>
      <w:r w:rsidR="009C7910" w:rsidRPr="00320ADF">
        <w:rPr>
          <w:w w:val="110"/>
        </w:rPr>
        <w:t xml:space="preserve"> bearing responsibility to protect the ecological asset</w:t>
      </w:r>
      <w:r w:rsidRPr="00320ADF">
        <w:rPr>
          <w:w w:val="110"/>
        </w:rPr>
        <w:t>. All national, subnational, state, and tribal sovereigns effectively share this non-divisible global asset, so any trustee, in theory, has standing to sue for damage to the atmosphere.</w:t>
      </w:r>
      <w:r w:rsidR="00863CD3" w:rsidRPr="00320ADF">
        <w:rPr>
          <w:rStyle w:val="FootnoteReference"/>
          <w:w w:val="110"/>
        </w:rPr>
        <w:footnoteReference w:id="41"/>
      </w:r>
      <w:r w:rsidRPr="00320ADF">
        <w:rPr>
          <w:w w:val="110"/>
        </w:rPr>
        <w:t xml:space="preserve">  The United Nations Framework Convention on Climate Change (UNFCC)—entered into in 1992 by most countries of the world—recognizes nations as co-trustees by stating a common duty to protect the atmosphere for future generations and to prevent “dangerous anthropogenic interference with the climate</w:t>
      </w:r>
      <w:r w:rsidRPr="00320ADF">
        <w:rPr>
          <w:spacing w:val="-12"/>
          <w:w w:val="110"/>
        </w:rPr>
        <w:t xml:space="preserve"> </w:t>
      </w:r>
      <w:r w:rsidRPr="00320ADF">
        <w:rPr>
          <w:w w:val="110"/>
        </w:rPr>
        <w:t>system.”</w:t>
      </w:r>
      <w:r w:rsidRPr="00320ADF">
        <w:rPr>
          <w:rStyle w:val="FootnoteReference"/>
          <w:w w:val="110"/>
        </w:rPr>
        <w:footnoteReference w:id="42"/>
      </w:r>
      <w:r w:rsidRPr="00320ADF">
        <w:rPr>
          <w:w w:val="110"/>
          <w:position w:val="10"/>
        </w:rPr>
        <w:t xml:space="preserve">  </w:t>
      </w:r>
      <w:r w:rsidRPr="00320ADF">
        <w:rPr>
          <w:w w:val="110"/>
        </w:rPr>
        <w:t>Subnational sovereigns—such as states</w:t>
      </w:r>
      <w:r w:rsidR="00BF299A">
        <w:rPr>
          <w:w w:val="110"/>
        </w:rPr>
        <w:t xml:space="preserve"> </w:t>
      </w:r>
      <w:r w:rsidRPr="00320ADF">
        <w:rPr>
          <w:w w:val="110"/>
        </w:rPr>
        <w:t>in the United States—are recognized as public trustees of ecological assets.</w:t>
      </w:r>
      <w:r w:rsidRPr="00320ADF">
        <w:rPr>
          <w:w w:val="110"/>
          <w:position w:val="10"/>
        </w:rPr>
        <w:t xml:space="preserve">  </w:t>
      </w:r>
      <w:r w:rsidR="009C7910" w:rsidRPr="00320ADF">
        <w:rPr>
          <w:w w:val="110"/>
        </w:rPr>
        <w:t>American I</w:t>
      </w:r>
      <w:r w:rsidRPr="00320ADF">
        <w:rPr>
          <w:w w:val="110"/>
        </w:rPr>
        <w:t xml:space="preserve">ndian tribes are also recognized as trustees of shared natural resources, expressly designated as such under environmental statutes. </w:t>
      </w:r>
      <w:r w:rsidRPr="00320ADF">
        <w:rPr>
          <w:w w:val="110"/>
          <w:position w:val="10"/>
        </w:rPr>
        <w:t xml:space="preserve"> </w:t>
      </w:r>
    </w:p>
    <w:p w:rsidR="00B3013B" w:rsidRPr="00320ADF" w:rsidRDefault="00B3013B" w:rsidP="005F2650">
      <w:pPr>
        <w:pStyle w:val="ListParagraph"/>
        <w:numPr>
          <w:ilvl w:val="0"/>
          <w:numId w:val="33"/>
        </w:numPr>
        <w:spacing w:before="203" w:line="480" w:lineRule="auto"/>
        <w:ind w:left="90" w:right="-68" w:firstLine="420"/>
        <w:jc w:val="both"/>
        <w:rPr>
          <w:w w:val="110"/>
        </w:rPr>
      </w:pPr>
      <w:r w:rsidRPr="00320ADF">
        <w:rPr>
          <w:b/>
          <w:bCs/>
        </w:rPr>
        <w:lastRenderedPageBreak/>
        <w:t>THE CLIMATE LIABLE PARTIES (CLPs)</w:t>
      </w:r>
    </w:p>
    <w:p w:rsidR="00B3013B" w:rsidRPr="00320ADF" w:rsidRDefault="00B3013B" w:rsidP="00B3013B">
      <w:pPr>
        <w:spacing w:before="203" w:line="480" w:lineRule="auto"/>
        <w:ind w:left="90" w:right="-68" w:firstLine="420"/>
        <w:jc w:val="both"/>
        <w:rPr>
          <w:rFonts w:ascii="Times New Roman" w:hAnsi="Times New Roman" w:cs="Times New Roman"/>
          <w:w w:val="110"/>
        </w:rPr>
      </w:pPr>
      <w:r w:rsidRPr="00320ADF">
        <w:rPr>
          <w:rFonts w:ascii="Times New Roman" w:hAnsi="Times New Roman" w:cs="Times New Roman"/>
          <w:w w:val="110"/>
        </w:rPr>
        <w:t xml:space="preserve">Every single person on Earth pollutes the atmosphere. However, large classes of industrial actors have profited enormously from producing fossil fuels even in spite of </w:t>
      </w:r>
      <w:r w:rsidR="00AF73BB" w:rsidRPr="00320ADF">
        <w:rPr>
          <w:rFonts w:ascii="Times New Roman" w:hAnsi="Times New Roman" w:cs="Times New Roman"/>
          <w:w w:val="110"/>
        </w:rPr>
        <w:t xml:space="preserve">longstanding knowledge </w:t>
      </w:r>
      <w:r w:rsidRPr="00320ADF">
        <w:rPr>
          <w:rFonts w:ascii="Times New Roman" w:hAnsi="Times New Roman" w:cs="Times New Roman"/>
          <w:w w:val="110"/>
        </w:rPr>
        <w:t xml:space="preserve">that doing so imperils the planet’s climate system and human survival.  Because the major corporate fossil fuel producers hold immense assets and bear culpability for the climate crisis, </w:t>
      </w:r>
      <w:r w:rsidR="00F559AF" w:rsidRPr="00320ADF">
        <w:rPr>
          <w:rFonts w:ascii="Times New Roman" w:hAnsi="Times New Roman" w:cs="Times New Roman"/>
          <w:w w:val="110"/>
        </w:rPr>
        <w:t>Atmospheric Recovery Litigation targets the fossil fuel producers to pay for cleanup of the atmosphere.</w:t>
      </w:r>
      <w:r w:rsidR="001628CA" w:rsidRPr="00320ADF">
        <w:rPr>
          <w:rFonts w:ascii="Times New Roman" w:hAnsi="Times New Roman" w:cs="Times New Roman"/>
          <w:w w:val="110"/>
        </w:rPr>
        <w:t xml:space="preserve">  </w:t>
      </w:r>
      <w:r w:rsidR="00F559AF" w:rsidRPr="00320ADF">
        <w:rPr>
          <w:rFonts w:ascii="Times New Roman" w:hAnsi="Times New Roman" w:cs="Times New Roman"/>
          <w:w w:val="110"/>
        </w:rPr>
        <w:t>The</w:t>
      </w:r>
      <w:r w:rsidR="00AF73BB" w:rsidRPr="00320ADF">
        <w:rPr>
          <w:rFonts w:ascii="Times New Roman" w:hAnsi="Times New Roman" w:cs="Times New Roman"/>
          <w:w w:val="110"/>
        </w:rPr>
        <w:t xml:space="preserve"> climate adaptation cases </w:t>
      </w:r>
      <w:r w:rsidR="001628CA" w:rsidRPr="00320ADF">
        <w:rPr>
          <w:rFonts w:ascii="Times New Roman" w:hAnsi="Times New Roman" w:cs="Times New Roman"/>
          <w:w w:val="110"/>
        </w:rPr>
        <w:t xml:space="preserve">already </w:t>
      </w:r>
      <w:r w:rsidR="00555782" w:rsidRPr="00320ADF">
        <w:rPr>
          <w:rFonts w:ascii="Times New Roman" w:hAnsi="Times New Roman" w:cs="Times New Roman"/>
          <w:w w:val="110"/>
        </w:rPr>
        <w:t>assert</w:t>
      </w:r>
      <w:r w:rsidRPr="00320ADF">
        <w:rPr>
          <w:rFonts w:ascii="Times New Roman" w:hAnsi="Times New Roman" w:cs="Times New Roman"/>
          <w:w w:val="110"/>
        </w:rPr>
        <w:t xml:space="preserve"> producer liability</w:t>
      </w:r>
      <w:r w:rsidR="00AF73BB" w:rsidRPr="00320ADF">
        <w:rPr>
          <w:rFonts w:ascii="Times New Roman" w:hAnsi="Times New Roman" w:cs="Times New Roman"/>
          <w:w w:val="110"/>
        </w:rPr>
        <w:t xml:space="preserve">, </w:t>
      </w:r>
      <w:r w:rsidR="00555782" w:rsidRPr="00320ADF">
        <w:rPr>
          <w:rFonts w:ascii="Times New Roman" w:hAnsi="Times New Roman" w:cs="Times New Roman"/>
          <w:w w:val="110"/>
        </w:rPr>
        <w:t>similar to the focus of the</w:t>
      </w:r>
      <w:r w:rsidRPr="00320ADF">
        <w:rPr>
          <w:rFonts w:ascii="Times New Roman" w:hAnsi="Times New Roman" w:cs="Times New Roman"/>
          <w:w w:val="110"/>
        </w:rPr>
        <w:t xml:space="preserve"> PCB and M</w:t>
      </w:r>
      <w:r w:rsidR="00E96CBB">
        <w:rPr>
          <w:rFonts w:ascii="Times New Roman" w:hAnsi="Times New Roman" w:cs="Times New Roman"/>
          <w:w w:val="110"/>
        </w:rPr>
        <w:t>TB</w:t>
      </w:r>
      <w:r w:rsidRPr="00320ADF">
        <w:rPr>
          <w:rFonts w:ascii="Times New Roman" w:hAnsi="Times New Roman" w:cs="Times New Roman"/>
          <w:w w:val="110"/>
        </w:rPr>
        <w:t xml:space="preserve">E </w:t>
      </w:r>
      <w:r w:rsidR="00555782" w:rsidRPr="00320ADF">
        <w:rPr>
          <w:rFonts w:ascii="Times New Roman" w:hAnsi="Times New Roman" w:cs="Times New Roman"/>
          <w:w w:val="110"/>
        </w:rPr>
        <w:t>cases</w:t>
      </w:r>
      <w:r w:rsidRPr="00320ADF">
        <w:rPr>
          <w:rFonts w:ascii="Times New Roman" w:hAnsi="Times New Roman" w:cs="Times New Roman"/>
          <w:w w:val="110"/>
        </w:rPr>
        <w:t xml:space="preserve">.  All three contexts require courts to </w:t>
      </w:r>
      <w:r w:rsidR="00C8023F" w:rsidRPr="00320ADF">
        <w:rPr>
          <w:rFonts w:ascii="Times New Roman" w:hAnsi="Times New Roman" w:cs="Times New Roman"/>
          <w:w w:val="110"/>
        </w:rPr>
        <w:t>push</w:t>
      </w:r>
      <w:r w:rsidRPr="00320ADF">
        <w:rPr>
          <w:rFonts w:ascii="Times New Roman" w:hAnsi="Times New Roman" w:cs="Times New Roman"/>
          <w:w w:val="110"/>
        </w:rPr>
        <w:t xml:space="preserve"> liability further up the chain of commerce from the actual parties that emit or dispose of the dangerous substances.  Not surprisingly,</w:t>
      </w:r>
      <w:r w:rsidR="00C8023F" w:rsidRPr="00320ADF">
        <w:rPr>
          <w:rFonts w:ascii="Times New Roman" w:hAnsi="Times New Roman" w:cs="Times New Roman"/>
          <w:w w:val="110"/>
        </w:rPr>
        <w:t xml:space="preserve"> </w:t>
      </w:r>
      <w:r w:rsidR="00B13C66" w:rsidRPr="00320ADF">
        <w:rPr>
          <w:rFonts w:ascii="Times New Roman" w:hAnsi="Times New Roman" w:cs="Times New Roman"/>
          <w:w w:val="110"/>
        </w:rPr>
        <w:t xml:space="preserve">the task of </w:t>
      </w:r>
      <w:r w:rsidRPr="00320ADF">
        <w:rPr>
          <w:rFonts w:ascii="Times New Roman" w:hAnsi="Times New Roman" w:cs="Times New Roman"/>
          <w:w w:val="110"/>
        </w:rPr>
        <w:t>identifying liable parties intersects directly with causation</w:t>
      </w:r>
      <w:r w:rsidR="007729A1" w:rsidRPr="00320ADF">
        <w:rPr>
          <w:rFonts w:ascii="Times New Roman" w:hAnsi="Times New Roman" w:cs="Times New Roman"/>
          <w:w w:val="110"/>
        </w:rPr>
        <w:t xml:space="preserve"> issues</w:t>
      </w:r>
      <w:r w:rsidRPr="00320ADF">
        <w:rPr>
          <w:rFonts w:ascii="Times New Roman" w:hAnsi="Times New Roman" w:cs="Times New Roman"/>
          <w:w w:val="110"/>
        </w:rPr>
        <w:t xml:space="preserve"> (explored below).  </w:t>
      </w:r>
    </w:p>
    <w:p w:rsidR="00B3013B" w:rsidRPr="00320ADF" w:rsidRDefault="007A5CF0" w:rsidP="007A5CF0">
      <w:pPr>
        <w:pStyle w:val="BodyText"/>
        <w:spacing w:before="203" w:line="480" w:lineRule="auto"/>
        <w:ind w:left="90" w:right="-68" w:firstLine="420"/>
        <w:jc w:val="both"/>
        <w:rPr>
          <w:w w:val="110"/>
        </w:rPr>
      </w:pPr>
      <w:r w:rsidRPr="00320ADF">
        <w:rPr>
          <w:w w:val="110"/>
        </w:rPr>
        <w:t>A groundbreaking report released in 2014 blazed a</w:t>
      </w:r>
      <w:r w:rsidR="00B3013B" w:rsidRPr="00320ADF">
        <w:rPr>
          <w:w w:val="110"/>
        </w:rPr>
        <w:t xml:space="preserve"> trail leading to producer liability in the climate contex</w:t>
      </w:r>
      <w:r w:rsidRPr="00320ADF">
        <w:rPr>
          <w:w w:val="110"/>
        </w:rPr>
        <w:t>t</w:t>
      </w:r>
      <w:r w:rsidR="00B3013B" w:rsidRPr="00320ADF">
        <w:rPr>
          <w:w w:val="110"/>
        </w:rPr>
        <w:t>.</w:t>
      </w:r>
      <w:r w:rsidR="00E26D5A" w:rsidRPr="00320ADF">
        <w:rPr>
          <w:rStyle w:val="FootnoteReference"/>
          <w:w w:val="110"/>
        </w:rPr>
        <w:footnoteReference w:id="43"/>
      </w:r>
      <w:r w:rsidR="00B3013B" w:rsidRPr="00320ADF">
        <w:rPr>
          <w:w w:val="110"/>
        </w:rPr>
        <w:t xml:space="preserve">  The research team used production and supply records to correlate GHG emissions to specific companies (and predecessors)</w:t>
      </w:r>
      <w:r w:rsidR="00C8023F" w:rsidRPr="00320ADF">
        <w:rPr>
          <w:w w:val="110"/>
        </w:rPr>
        <w:t xml:space="preserve"> producing oil, gas, and coal, </w:t>
      </w:r>
      <w:r w:rsidR="00B3013B" w:rsidRPr="00320ADF">
        <w:rPr>
          <w:w w:val="110"/>
        </w:rPr>
        <w:t xml:space="preserve">dating back to the beginning of the Industrial Revolution.  The report found that nearly two-thirds of GHG emissions generated since the beginning of the industrial age could be attributed to just </w:t>
      </w:r>
      <w:r w:rsidR="00C8023F" w:rsidRPr="00320ADF">
        <w:rPr>
          <w:w w:val="110"/>
        </w:rPr>
        <w:t>90</w:t>
      </w:r>
      <w:r w:rsidR="00B3013B" w:rsidRPr="00320ADF">
        <w:rPr>
          <w:w w:val="110"/>
        </w:rPr>
        <w:t xml:space="preserve"> companies (dubbed the Carbon Majors).</w:t>
      </w:r>
      <w:r w:rsidR="00B3013B" w:rsidRPr="00320ADF">
        <w:rPr>
          <w:rStyle w:val="FootnoteReference"/>
          <w:w w:val="110"/>
        </w:rPr>
        <w:footnoteReference w:id="44"/>
      </w:r>
      <w:r w:rsidR="00B3013B" w:rsidRPr="00320ADF">
        <w:rPr>
          <w:w w:val="110"/>
          <w:position w:val="10"/>
        </w:rPr>
        <w:t xml:space="preserve"> </w:t>
      </w:r>
      <w:r w:rsidR="00B3013B" w:rsidRPr="00320ADF">
        <w:rPr>
          <w:w w:val="110"/>
        </w:rPr>
        <w:t xml:space="preserve"> This research </w:t>
      </w:r>
      <w:r w:rsidR="00C51B1C" w:rsidRPr="00320ADF">
        <w:rPr>
          <w:w w:val="110"/>
        </w:rPr>
        <w:t>has provided the</w:t>
      </w:r>
      <w:r w:rsidR="00B3013B" w:rsidRPr="00320ADF">
        <w:rPr>
          <w:w w:val="110"/>
        </w:rPr>
        <w:t xml:space="preserve"> platform for the </w:t>
      </w:r>
      <w:r w:rsidR="00C51B1C" w:rsidRPr="00320ADF">
        <w:rPr>
          <w:w w:val="110"/>
        </w:rPr>
        <w:t xml:space="preserve">ongoing </w:t>
      </w:r>
      <w:r w:rsidR="00B3013B" w:rsidRPr="00320ADF">
        <w:rPr>
          <w:w w:val="110"/>
        </w:rPr>
        <w:t xml:space="preserve">climate adaptation </w:t>
      </w:r>
      <w:r w:rsidR="00F11E41" w:rsidRPr="00320ADF">
        <w:rPr>
          <w:w w:val="110"/>
        </w:rPr>
        <w:t xml:space="preserve">liability </w:t>
      </w:r>
      <w:r w:rsidR="00B3013B" w:rsidRPr="00320ADF">
        <w:rPr>
          <w:w w:val="110"/>
        </w:rPr>
        <w:t>suits</w:t>
      </w:r>
      <w:r w:rsidR="00C51B1C" w:rsidRPr="00320ADF">
        <w:rPr>
          <w:w w:val="110"/>
        </w:rPr>
        <w:t xml:space="preserve"> </w:t>
      </w:r>
      <w:r w:rsidR="00B3013B" w:rsidRPr="00320ADF">
        <w:rPr>
          <w:w w:val="110"/>
        </w:rPr>
        <w:t>against major producers such as Exxon, Chevron, BP, Shell, and others.</w:t>
      </w:r>
      <w:r w:rsidR="00F559AF" w:rsidRPr="00320ADF">
        <w:rPr>
          <w:w w:val="110"/>
        </w:rPr>
        <w:t xml:space="preserve">  </w:t>
      </w:r>
      <w:r w:rsidR="00B3013B" w:rsidRPr="00320ADF">
        <w:rPr>
          <w:w w:val="110"/>
        </w:rPr>
        <w:t xml:space="preserve">  </w:t>
      </w:r>
    </w:p>
    <w:p w:rsidR="00B3013B" w:rsidRPr="00320ADF" w:rsidRDefault="00B3013B" w:rsidP="00B3013B">
      <w:pPr>
        <w:pStyle w:val="BodyText"/>
        <w:spacing w:before="203" w:line="480" w:lineRule="auto"/>
        <w:ind w:left="90" w:right="-68" w:firstLine="420"/>
        <w:jc w:val="both"/>
        <w:rPr>
          <w:w w:val="110"/>
        </w:rPr>
      </w:pPr>
      <w:r w:rsidRPr="00320ADF">
        <w:rPr>
          <w:w w:val="110"/>
        </w:rPr>
        <w:t xml:space="preserve">Producer liability is fast gaining ground as a result of all three categories of analogous litigation described above.  </w:t>
      </w:r>
      <w:r w:rsidR="00E3042D" w:rsidRPr="00320ADF">
        <w:rPr>
          <w:w w:val="110"/>
        </w:rPr>
        <w:t>Though</w:t>
      </w:r>
      <w:r w:rsidRPr="00320ADF">
        <w:rPr>
          <w:w w:val="110"/>
        </w:rPr>
        <w:t xml:space="preserve"> the </w:t>
      </w:r>
      <w:r w:rsidR="002605EB" w:rsidRPr="00320ADF">
        <w:rPr>
          <w:w w:val="110"/>
        </w:rPr>
        <w:t xml:space="preserve">second-generation </w:t>
      </w:r>
      <w:r w:rsidRPr="00320ADF">
        <w:rPr>
          <w:w w:val="110"/>
        </w:rPr>
        <w:t xml:space="preserve">climate liability suits have not </w:t>
      </w:r>
      <w:r w:rsidRPr="00320ADF">
        <w:rPr>
          <w:w w:val="110"/>
        </w:rPr>
        <w:lastRenderedPageBreak/>
        <w:t xml:space="preserve">yet gained a liability judgment against the carbon majors, </w:t>
      </w:r>
      <w:r w:rsidR="00D4181C" w:rsidRPr="00320ADF">
        <w:rPr>
          <w:w w:val="110"/>
        </w:rPr>
        <w:t>neither</w:t>
      </w:r>
      <w:r w:rsidR="00E3042D" w:rsidRPr="00320ADF">
        <w:rPr>
          <w:w w:val="110"/>
        </w:rPr>
        <w:t xml:space="preserve"> </w:t>
      </w:r>
      <w:r w:rsidRPr="00320ADF">
        <w:rPr>
          <w:w w:val="110"/>
        </w:rPr>
        <w:t xml:space="preserve">has </w:t>
      </w:r>
      <w:r w:rsidR="00D4181C" w:rsidRPr="00320ADF">
        <w:rPr>
          <w:w w:val="110"/>
        </w:rPr>
        <w:t>there</w:t>
      </w:r>
      <w:r w:rsidR="00E3042D" w:rsidRPr="00320ADF">
        <w:rPr>
          <w:w w:val="110"/>
        </w:rPr>
        <w:t xml:space="preserve"> </w:t>
      </w:r>
      <w:r w:rsidRPr="00320ADF">
        <w:rPr>
          <w:w w:val="110"/>
        </w:rPr>
        <w:t xml:space="preserve">been </w:t>
      </w:r>
      <w:r w:rsidR="002605EB" w:rsidRPr="00320ADF">
        <w:rPr>
          <w:w w:val="110"/>
        </w:rPr>
        <w:t>a</w:t>
      </w:r>
      <w:r w:rsidRPr="00320ADF">
        <w:rPr>
          <w:w w:val="110"/>
        </w:rPr>
        <w:t xml:space="preserve"> decision finally absolving them of liability.  The two notable dismissals so far (by </w:t>
      </w:r>
      <w:r w:rsidR="00F11E41" w:rsidRPr="00320ADF">
        <w:rPr>
          <w:w w:val="110"/>
        </w:rPr>
        <w:t xml:space="preserve">federal </w:t>
      </w:r>
      <w:r w:rsidRPr="00320ADF">
        <w:rPr>
          <w:w w:val="110"/>
        </w:rPr>
        <w:t xml:space="preserve">Judge </w:t>
      </w:r>
      <w:proofErr w:type="spellStart"/>
      <w:r w:rsidRPr="00320ADF">
        <w:rPr>
          <w:w w:val="110"/>
        </w:rPr>
        <w:t>Alsup</w:t>
      </w:r>
      <w:proofErr w:type="spellEnd"/>
      <w:r w:rsidRPr="00320ADF">
        <w:rPr>
          <w:w w:val="110"/>
        </w:rPr>
        <w:t xml:space="preserve"> of California and </w:t>
      </w:r>
      <w:r w:rsidR="00F11E41" w:rsidRPr="00320ADF">
        <w:rPr>
          <w:w w:val="110"/>
        </w:rPr>
        <w:t xml:space="preserve">federal </w:t>
      </w:r>
      <w:r w:rsidRPr="00320ADF">
        <w:rPr>
          <w:w w:val="110"/>
        </w:rPr>
        <w:t>Judge Keenan of New York) have focused more on separation of powers issues than producer liability.</w:t>
      </w:r>
      <w:r w:rsidRPr="00320ADF">
        <w:rPr>
          <w:rStyle w:val="FootnoteReference"/>
          <w:w w:val="110"/>
        </w:rPr>
        <w:footnoteReference w:id="45"/>
      </w:r>
      <w:r w:rsidRPr="00320ADF">
        <w:rPr>
          <w:w w:val="110"/>
        </w:rPr>
        <w:t xml:space="preserve"> </w:t>
      </w:r>
      <w:r w:rsidRPr="00320ADF">
        <w:rPr>
          <w:color w:val="232323"/>
        </w:rPr>
        <w:t xml:space="preserve">A recent ruling by Rhode Island federal district Judge William Smith, remanding a suit back to state court, </w:t>
      </w:r>
      <w:r w:rsidR="00E96CBB">
        <w:rPr>
          <w:color w:val="232323"/>
        </w:rPr>
        <w:t>underscored the logic of holding</w:t>
      </w:r>
      <w:r w:rsidR="00E96CBB" w:rsidRPr="00320ADF">
        <w:rPr>
          <w:color w:val="232323"/>
        </w:rPr>
        <w:t xml:space="preserve"> </w:t>
      </w:r>
      <w:r w:rsidRPr="00320ADF">
        <w:rPr>
          <w:color w:val="232323"/>
        </w:rPr>
        <w:t xml:space="preserve">producers liable. </w:t>
      </w:r>
      <w:r w:rsidR="00E96CBB">
        <w:rPr>
          <w:color w:val="232323"/>
        </w:rPr>
        <w:t xml:space="preserve"> </w:t>
      </w:r>
      <w:r w:rsidRPr="00320ADF">
        <w:rPr>
          <w:color w:val="232323"/>
        </w:rPr>
        <w:t xml:space="preserve">The court summarized the case in this way:  </w:t>
      </w:r>
    </w:p>
    <w:p w:rsidR="00B3013B" w:rsidRDefault="00B3013B" w:rsidP="00CC6D90">
      <w:pPr>
        <w:pStyle w:val="BodyText"/>
        <w:spacing w:before="92" w:line="276" w:lineRule="auto"/>
        <w:ind w:left="510" w:right="1050"/>
        <w:jc w:val="both"/>
      </w:pPr>
      <w:r w:rsidRPr="00320ADF">
        <w:rPr>
          <w:color w:val="232323"/>
        </w:rPr>
        <w:t xml:space="preserve">Climate change is expensive, and the State wants help paying for it. Specifically from Defendants in this case, who together have extracted, advertised, and sold a substantial percentage of the fossil fuels burned globally since the 1960s.  </w:t>
      </w:r>
      <w:r w:rsidRPr="00320ADF">
        <w:t xml:space="preserve"> This activity has released an immense</w:t>
      </w:r>
      <w:r w:rsidRPr="00320ADF">
        <w:rPr>
          <w:spacing w:val="-17"/>
        </w:rPr>
        <w:t xml:space="preserve"> </w:t>
      </w:r>
      <w:r w:rsidRPr="00320ADF">
        <w:t>amount</w:t>
      </w:r>
      <w:r w:rsidRPr="00320ADF">
        <w:rPr>
          <w:spacing w:val="-16"/>
        </w:rPr>
        <w:t xml:space="preserve"> </w:t>
      </w:r>
      <w:r w:rsidRPr="00320ADF">
        <w:t>of</w:t>
      </w:r>
      <w:r w:rsidRPr="00320ADF">
        <w:rPr>
          <w:spacing w:val="-14"/>
        </w:rPr>
        <w:t xml:space="preserve"> </w:t>
      </w:r>
      <w:r w:rsidRPr="00320ADF">
        <w:t>greenhouse</w:t>
      </w:r>
      <w:r w:rsidRPr="00320ADF">
        <w:rPr>
          <w:spacing w:val="-17"/>
        </w:rPr>
        <w:t xml:space="preserve"> </w:t>
      </w:r>
      <w:r w:rsidRPr="00320ADF">
        <w:t>gas</w:t>
      </w:r>
      <w:r w:rsidRPr="00320ADF">
        <w:rPr>
          <w:spacing w:val="-16"/>
        </w:rPr>
        <w:t xml:space="preserve"> </w:t>
      </w:r>
      <w:r w:rsidRPr="00320ADF">
        <w:t>into</w:t>
      </w:r>
      <w:r w:rsidRPr="00320ADF">
        <w:rPr>
          <w:spacing w:val="-16"/>
        </w:rPr>
        <w:t xml:space="preserve"> </w:t>
      </w:r>
      <w:r w:rsidRPr="00320ADF">
        <w:t>the</w:t>
      </w:r>
      <w:r w:rsidRPr="00320ADF">
        <w:rPr>
          <w:spacing w:val="-17"/>
        </w:rPr>
        <w:t xml:space="preserve"> </w:t>
      </w:r>
      <w:r w:rsidRPr="00320ADF">
        <w:t>Earth’s</w:t>
      </w:r>
      <w:r w:rsidRPr="00320ADF">
        <w:rPr>
          <w:spacing w:val="-16"/>
        </w:rPr>
        <w:t xml:space="preserve"> </w:t>
      </w:r>
      <w:r w:rsidRPr="00320ADF">
        <w:t>atmosphere,</w:t>
      </w:r>
      <w:r w:rsidRPr="00320ADF">
        <w:rPr>
          <w:spacing w:val="-16"/>
        </w:rPr>
        <w:t xml:space="preserve"> </w:t>
      </w:r>
      <w:r w:rsidRPr="00320ADF">
        <w:t>changing its climate and leading to all kinds of displacement, death</w:t>
      </w:r>
      <w:r w:rsidRPr="00320ADF">
        <w:rPr>
          <w:spacing w:val="-17"/>
        </w:rPr>
        <w:t xml:space="preserve"> </w:t>
      </w:r>
      <w:r w:rsidRPr="00320ADF">
        <w:t>(extinctions,</w:t>
      </w:r>
      <w:r w:rsidRPr="00320ADF">
        <w:rPr>
          <w:spacing w:val="-16"/>
        </w:rPr>
        <w:t xml:space="preserve"> </w:t>
      </w:r>
      <w:r w:rsidRPr="00320ADF">
        <w:t>even),</w:t>
      </w:r>
      <w:r w:rsidRPr="00320ADF">
        <w:rPr>
          <w:spacing w:val="-16"/>
        </w:rPr>
        <w:t xml:space="preserve"> </w:t>
      </w:r>
      <w:r w:rsidRPr="00320ADF">
        <w:t>and</w:t>
      </w:r>
      <w:r w:rsidRPr="00320ADF">
        <w:rPr>
          <w:spacing w:val="-17"/>
        </w:rPr>
        <w:t xml:space="preserve"> </w:t>
      </w:r>
      <w:r w:rsidRPr="00320ADF">
        <w:t xml:space="preserve">destruction.  What is more, Defendants understood the consequences </w:t>
      </w:r>
      <w:r w:rsidRPr="00320ADF">
        <w:rPr>
          <w:spacing w:val="-7"/>
        </w:rPr>
        <w:t xml:space="preserve">of </w:t>
      </w:r>
      <w:r w:rsidRPr="00320ADF">
        <w:t>their activity decades ago, when transitioning from fossil fuels to</w:t>
      </w:r>
      <w:r w:rsidRPr="00320ADF">
        <w:rPr>
          <w:spacing w:val="-28"/>
        </w:rPr>
        <w:t xml:space="preserve"> </w:t>
      </w:r>
      <w:r w:rsidRPr="00320ADF">
        <w:t>renewable</w:t>
      </w:r>
      <w:r w:rsidRPr="00320ADF">
        <w:rPr>
          <w:spacing w:val="-27"/>
        </w:rPr>
        <w:t xml:space="preserve"> </w:t>
      </w:r>
      <w:r w:rsidRPr="00320ADF">
        <w:t>sources</w:t>
      </w:r>
      <w:r w:rsidRPr="00320ADF">
        <w:rPr>
          <w:spacing w:val="-27"/>
        </w:rPr>
        <w:t xml:space="preserve"> </w:t>
      </w:r>
      <w:r w:rsidRPr="00320ADF">
        <w:t>of</w:t>
      </w:r>
      <w:r w:rsidRPr="00320ADF">
        <w:rPr>
          <w:spacing w:val="-27"/>
        </w:rPr>
        <w:t xml:space="preserve"> </w:t>
      </w:r>
      <w:r w:rsidRPr="00320ADF">
        <w:t>energy</w:t>
      </w:r>
      <w:r w:rsidRPr="00320ADF">
        <w:rPr>
          <w:spacing w:val="-27"/>
        </w:rPr>
        <w:t xml:space="preserve"> </w:t>
      </w:r>
      <w:r w:rsidRPr="00320ADF">
        <w:t>would</w:t>
      </w:r>
      <w:r w:rsidRPr="00320ADF">
        <w:rPr>
          <w:spacing w:val="-27"/>
        </w:rPr>
        <w:t xml:space="preserve"> </w:t>
      </w:r>
      <w:r w:rsidRPr="00320ADF">
        <w:t>have</w:t>
      </w:r>
      <w:r w:rsidRPr="00320ADF">
        <w:rPr>
          <w:spacing w:val="-27"/>
        </w:rPr>
        <w:t xml:space="preserve"> </w:t>
      </w:r>
      <w:r w:rsidRPr="00320ADF">
        <w:t>saved</w:t>
      </w:r>
      <w:r w:rsidRPr="00320ADF">
        <w:rPr>
          <w:spacing w:val="-27"/>
        </w:rPr>
        <w:t xml:space="preserve"> </w:t>
      </w:r>
      <w:r w:rsidRPr="00320ADF">
        <w:t>a</w:t>
      </w:r>
      <w:r w:rsidRPr="00320ADF">
        <w:rPr>
          <w:spacing w:val="-28"/>
        </w:rPr>
        <w:t xml:space="preserve"> </w:t>
      </w:r>
      <w:r w:rsidRPr="00320ADF">
        <w:t>world</w:t>
      </w:r>
      <w:r w:rsidRPr="00320ADF">
        <w:rPr>
          <w:spacing w:val="-27"/>
        </w:rPr>
        <w:t xml:space="preserve"> </w:t>
      </w:r>
      <w:r w:rsidRPr="00320ADF">
        <w:t>of</w:t>
      </w:r>
      <w:r w:rsidRPr="00320ADF">
        <w:rPr>
          <w:spacing w:val="-27"/>
        </w:rPr>
        <w:t xml:space="preserve"> </w:t>
      </w:r>
      <w:r w:rsidRPr="00320ADF">
        <w:t>trouble.  But instead of sounding the alarm, Defendants</w:t>
      </w:r>
      <w:r w:rsidRPr="00320ADF">
        <w:rPr>
          <w:spacing w:val="-31"/>
        </w:rPr>
        <w:t xml:space="preserve"> </w:t>
      </w:r>
      <w:r w:rsidRPr="00320ADF">
        <w:t>went</w:t>
      </w:r>
      <w:r w:rsidRPr="00320ADF">
        <w:rPr>
          <w:spacing w:val="-31"/>
        </w:rPr>
        <w:t xml:space="preserve"> </w:t>
      </w:r>
      <w:r w:rsidRPr="00320ADF">
        <w:t>out</w:t>
      </w:r>
      <w:r w:rsidRPr="00320ADF">
        <w:rPr>
          <w:spacing w:val="-31"/>
        </w:rPr>
        <w:t xml:space="preserve"> </w:t>
      </w:r>
      <w:r w:rsidRPr="00320ADF">
        <w:t>of</w:t>
      </w:r>
      <w:r w:rsidRPr="00320ADF">
        <w:rPr>
          <w:spacing w:val="-30"/>
        </w:rPr>
        <w:t xml:space="preserve"> </w:t>
      </w:r>
      <w:r w:rsidRPr="00320ADF">
        <w:t>their</w:t>
      </w:r>
      <w:r w:rsidRPr="00320ADF">
        <w:rPr>
          <w:spacing w:val="-31"/>
        </w:rPr>
        <w:t xml:space="preserve"> </w:t>
      </w:r>
      <w:r w:rsidRPr="00320ADF">
        <w:t>way</w:t>
      </w:r>
      <w:r w:rsidRPr="00320ADF">
        <w:rPr>
          <w:spacing w:val="-31"/>
        </w:rPr>
        <w:t xml:space="preserve"> </w:t>
      </w:r>
      <w:r w:rsidRPr="00320ADF">
        <w:t>to</w:t>
      </w:r>
      <w:r w:rsidRPr="00320ADF">
        <w:rPr>
          <w:spacing w:val="-31"/>
        </w:rPr>
        <w:t xml:space="preserve"> </w:t>
      </w:r>
      <w:r w:rsidRPr="00320ADF">
        <w:t>becloud</w:t>
      </w:r>
      <w:r w:rsidRPr="00320ADF">
        <w:rPr>
          <w:spacing w:val="-30"/>
        </w:rPr>
        <w:t xml:space="preserve"> </w:t>
      </w:r>
      <w:r w:rsidRPr="00320ADF">
        <w:t>the</w:t>
      </w:r>
      <w:r w:rsidRPr="00320ADF">
        <w:rPr>
          <w:spacing w:val="-31"/>
        </w:rPr>
        <w:t xml:space="preserve"> </w:t>
      </w:r>
      <w:r w:rsidRPr="00320ADF">
        <w:t>emerging</w:t>
      </w:r>
      <w:r w:rsidRPr="00320ADF">
        <w:rPr>
          <w:spacing w:val="-31"/>
        </w:rPr>
        <w:t xml:space="preserve"> </w:t>
      </w:r>
      <w:r w:rsidRPr="00320ADF">
        <w:t xml:space="preserve">scientific consensus and further delay changes — however </w:t>
      </w:r>
      <w:r w:rsidRPr="00320ADF">
        <w:rPr>
          <w:spacing w:val="-2"/>
        </w:rPr>
        <w:t xml:space="preserve">existentially </w:t>
      </w:r>
      <w:r w:rsidRPr="00320ADF">
        <w:t xml:space="preserve">necessary — that would in any way interfere with their </w:t>
      </w:r>
      <w:r w:rsidRPr="00320ADF">
        <w:rPr>
          <w:spacing w:val="-3"/>
        </w:rPr>
        <w:t xml:space="preserve">multi- </w:t>
      </w:r>
      <w:r w:rsidRPr="00320ADF">
        <w:t xml:space="preserve">billion-dollar profits. All while quietly </w:t>
      </w:r>
      <w:r w:rsidRPr="00320ADF">
        <w:rPr>
          <w:spacing w:val="-3"/>
        </w:rPr>
        <w:t xml:space="preserve">readying </w:t>
      </w:r>
      <w:r w:rsidRPr="00320ADF">
        <w:t>their capital for the coming fallout.</w:t>
      </w:r>
      <w:r w:rsidRPr="00320ADF">
        <w:rPr>
          <w:rStyle w:val="FootnoteReference"/>
        </w:rPr>
        <w:footnoteReference w:id="46"/>
      </w:r>
    </w:p>
    <w:p w:rsidR="00CC6D90" w:rsidRPr="00320ADF" w:rsidRDefault="00CC6D90" w:rsidP="00CC6D90">
      <w:pPr>
        <w:pStyle w:val="BodyText"/>
        <w:spacing w:before="92" w:line="276" w:lineRule="auto"/>
        <w:ind w:left="510" w:right="1050"/>
        <w:jc w:val="both"/>
      </w:pPr>
    </w:p>
    <w:p w:rsidR="00B3013B" w:rsidRPr="007C0F7D" w:rsidRDefault="00B3013B" w:rsidP="00401159">
      <w:pPr>
        <w:spacing w:line="480" w:lineRule="auto"/>
        <w:ind w:firstLine="510"/>
        <w:rPr>
          <w:rFonts w:ascii="Times New Roman" w:eastAsia="Times New Roman" w:hAnsi="Times New Roman" w:cs="Times New Roman"/>
        </w:rPr>
      </w:pPr>
      <w:r w:rsidRPr="00320ADF">
        <w:rPr>
          <w:rFonts w:ascii="Times New Roman" w:hAnsi="Times New Roman" w:cs="Times New Roman"/>
          <w:w w:val="110"/>
        </w:rPr>
        <w:t>In the other two categories of analogous litigation, the law is proceeding</w:t>
      </w:r>
      <w:r w:rsidR="00081D32" w:rsidRPr="00320ADF">
        <w:rPr>
          <w:rFonts w:ascii="Times New Roman" w:hAnsi="Times New Roman" w:cs="Times New Roman"/>
          <w:w w:val="110"/>
        </w:rPr>
        <w:t xml:space="preserve"> apace</w:t>
      </w:r>
      <w:r w:rsidRPr="00320ADF">
        <w:rPr>
          <w:rFonts w:ascii="Times New Roman" w:hAnsi="Times New Roman" w:cs="Times New Roman"/>
          <w:w w:val="110"/>
        </w:rPr>
        <w:t xml:space="preserve"> to hold producers liable.  At least </w:t>
      </w:r>
      <w:r w:rsidR="004324DD">
        <w:rPr>
          <w:rFonts w:ascii="Times New Roman" w:hAnsi="Times New Roman" w:cs="Times New Roman"/>
          <w:w w:val="110"/>
        </w:rPr>
        <w:t>eight</w:t>
      </w:r>
      <w:r w:rsidR="004324DD" w:rsidRPr="00320ADF">
        <w:rPr>
          <w:rFonts w:ascii="Times New Roman" w:hAnsi="Times New Roman" w:cs="Times New Roman"/>
          <w:w w:val="110"/>
        </w:rPr>
        <w:t xml:space="preserve"> </w:t>
      </w:r>
      <w:r w:rsidRPr="00320ADF">
        <w:rPr>
          <w:rFonts w:ascii="Times New Roman" w:hAnsi="Times New Roman" w:cs="Times New Roman"/>
          <w:w w:val="110"/>
        </w:rPr>
        <w:t>of the notable PCB suits against Monsanto have survived motions to dismiss.</w:t>
      </w:r>
      <w:r w:rsidR="00832BCF" w:rsidRPr="00320ADF">
        <w:rPr>
          <w:rStyle w:val="FootnoteReference"/>
          <w:rFonts w:ascii="Times New Roman" w:hAnsi="Times New Roman" w:cs="Times New Roman"/>
          <w:w w:val="110"/>
        </w:rPr>
        <w:footnoteReference w:id="47"/>
      </w:r>
      <w:r w:rsidRPr="00320ADF">
        <w:rPr>
          <w:rFonts w:ascii="Times New Roman" w:hAnsi="Times New Roman" w:cs="Times New Roman"/>
          <w:w w:val="110"/>
        </w:rPr>
        <w:t xml:space="preserve">  In </w:t>
      </w:r>
      <w:r w:rsidRPr="00320ADF">
        <w:rPr>
          <w:rFonts w:ascii="Times New Roman" w:hAnsi="Times New Roman" w:cs="Times New Roman"/>
          <w:i/>
          <w:iCs/>
          <w:w w:val="110"/>
        </w:rPr>
        <w:t xml:space="preserve">San Jose v. </w:t>
      </w:r>
      <w:r w:rsidR="003F29EF" w:rsidRPr="00320ADF">
        <w:rPr>
          <w:rFonts w:ascii="Times New Roman" w:hAnsi="Times New Roman" w:cs="Times New Roman"/>
          <w:i/>
          <w:iCs/>
          <w:w w:val="110"/>
        </w:rPr>
        <w:t>Monsanto</w:t>
      </w:r>
      <w:r w:rsidRPr="00320ADF">
        <w:rPr>
          <w:rFonts w:ascii="Times New Roman" w:hAnsi="Times New Roman" w:cs="Times New Roman"/>
          <w:w w:val="110"/>
        </w:rPr>
        <w:t xml:space="preserve">, </w:t>
      </w:r>
      <w:r w:rsidR="001324E0" w:rsidRPr="00320ADF">
        <w:rPr>
          <w:rFonts w:ascii="Times New Roman" w:hAnsi="Times New Roman" w:cs="Times New Roman"/>
          <w:w w:val="110"/>
        </w:rPr>
        <w:t>a federal judge</w:t>
      </w:r>
      <w:r w:rsidRPr="00320ADF">
        <w:rPr>
          <w:rFonts w:ascii="Times New Roman" w:hAnsi="Times New Roman" w:cs="Times New Roman"/>
          <w:w w:val="110"/>
        </w:rPr>
        <w:t xml:space="preserve"> ruled that </w:t>
      </w:r>
      <w:r w:rsidR="003B181F" w:rsidRPr="00320ADF">
        <w:rPr>
          <w:rFonts w:ascii="Times New Roman" w:hAnsi="Times New Roman" w:cs="Times New Roman"/>
          <w:w w:val="110"/>
        </w:rPr>
        <w:lastRenderedPageBreak/>
        <w:t xml:space="preserve">Monsanto </w:t>
      </w:r>
      <w:r w:rsidRPr="00320ADF">
        <w:rPr>
          <w:rFonts w:ascii="Times New Roman" w:hAnsi="Times New Roman" w:cs="Times New Roman"/>
          <w:w w:val="110"/>
        </w:rPr>
        <w:t xml:space="preserve">may be liable </w:t>
      </w:r>
      <w:r w:rsidR="001324E0" w:rsidRPr="00320ADF">
        <w:rPr>
          <w:rFonts w:ascii="Times New Roman" w:hAnsi="Times New Roman" w:cs="Times New Roman"/>
          <w:w w:val="110"/>
        </w:rPr>
        <w:t xml:space="preserve">for public nuisance </w:t>
      </w:r>
      <w:r w:rsidRPr="00320ADF">
        <w:rPr>
          <w:rFonts w:ascii="Times New Roman" w:hAnsi="Times New Roman" w:cs="Times New Roman"/>
          <w:w w:val="110"/>
        </w:rPr>
        <w:t>when it fail</w:t>
      </w:r>
      <w:r w:rsidR="003B181F" w:rsidRPr="00320ADF">
        <w:rPr>
          <w:rFonts w:ascii="Times New Roman" w:hAnsi="Times New Roman" w:cs="Times New Roman"/>
          <w:w w:val="110"/>
        </w:rPr>
        <w:t>ed</w:t>
      </w:r>
      <w:r w:rsidRPr="00320ADF">
        <w:rPr>
          <w:rFonts w:ascii="Times New Roman" w:hAnsi="Times New Roman" w:cs="Times New Roman"/>
          <w:w w:val="110"/>
        </w:rPr>
        <w:t xml:space="preserve"> to provide adequate instructions on how to dispose of PCBs properly.</w:t>
      </w:r>
      <w:r w:rsidRPr="00320ADF">
        <w:rPr>
          <w:rStyle w:val="FootnoteReference"/>
          <w:rFonts w:ascii="Times New Roman" w:hAnsi="Times New Roman" w:cs="Times New Roman"/>
          <w:w w:val="110"/>
        </w:rPr>
        <w:footnoteReference w:id="48"/>
      </w:r>
      <w:r w:rsidRPr="00320ADF">
        <w:rPr>
          <w:rFonts w:ascii="Times New Roman" w:hAnsi="Times New Roman" w:cs="Times New Roman"/>
          <w:w w:val="110"/>
        </w:rPr>
        <w:t xml:space="preserve"> </w:t>
      </w:r>
      <w:r w:rsidR="00CC6D90">
        <w:rPr>
          <w:rFonts w:ascii="Times New Roman" w:hAnsi="Times New Roman" w:cs="Times New Roman"/>
          <w:w w:val="110"/>
        </w:rPr>
        <w:t xml:space="preserve"> </w:t>
      </w:r>
      <w:r w:rsidRPr="00320ADF">
        <w:rPr>
          <w:rFonts w:ascii="Times New Roman" w:hAnsi="Times New Roman" w:cs="Times New Roman"/>
          <w:w w:val="110"/>
        </w:rPr>
        <w:t xml:space="preserve">In </w:t>
      </w:r>
      <w:r w:rsidRPr="00320ADF">
        <w:rPr>
          <w:rFonts w:ascii="Times New Roman" w:hAnsi="Times New Roman" w:cs="Times New Roman"/>
          <w:i/>
          <w:iCs/>
          <w:w w:val="110"/>
        </w:rPr>
        <w:t>Seattle v. Monsanto</w:t>
      </w:r>
      <w:r w:rsidRPr="00320ADF">
        <w:rPr>
          <w:rFonts w:ascii="Times New Roman" w:hAnsi="Times New Roman" w:cs="Times New Roman"/>
          <w:w w:val="110"/>
        </w:rPr>
        <w:t>, the court refused to grant defendant’s motion to dismiss, finding, “</w:t>
      </w:r>
      <w:r w:rsidRPr="00320ADF">
        <w:rPr>
          <w:rFonts w:ascii="Times New Roman" w:hAnsi="Times New Roman" w:cs="Times New Roman"/>
        </w:rPr>
        <w:t>Seattle has sufficiently</w:t>
      </w:r>
      <w:r w:rsidRPr="00320ADF">
        <w:rPr>
          <w:rFonts w:ascii="Times New Roman" w:hAnsi="Times New Roman" w:cs="Times New Roman"/>
          <w:spacing w:val="-46"/>
        </w:rPr>
        <w:t xml:space="preserve"> </w:t>
      </w:r>
      <w:r w:rsidRPr="00320ADF">
        <w:rPr>
          <w:rFonts w:ascii="Times New Roman" w:hAnsi="Times New Roman" w:cs="Times New Roman"/>
        </w:rPr>
        <w:t>alleged that Monsanto produced and marketed certain toxic chemicals that now contaminate</w:t>
      </w:r>
      <w:r w:rsidRPr="00320ADF">
        <w:rPr>
          <w:rFonts w:ascii="Times New Roman" w:hAnsi="Times New Roman" w:cs="Times New Roman"/>
          <w:spacing w:val="-26"/>
        </w:rPr>
        <w:t xml:space="preserve"> </w:t>
      </w:r>
      <w:r w:rsidRPr="00320ADF">
        <w:rPr>
          <w:rFonts w:ascii="Times New Roman" w:hAnsi="Times New Roman" w:cs="Times New Roman"/>
        </w:rPr>
        <w:t>Seattle’s streets, drainage systems, and [waterways].”</w:t>
      </w:r>
      <w:r w:rsidR="00281711" w:rsidRPr="00320ADF">
        <w:rPr>
          <w:rStyle w:val="FootnoteReference"/>
          <w:rFonts w:ascii="Times New Roman" w:hAnsi="Times New Roman" w:cs="Times New Roman"/>
        </w:rPr>
        <w:footnoteReference w:id="49"/>
      </w:r>
      <w:r w:rsidRPr="00320ADF">
        <w:rPr>
          <w:rFonts w:ascii="Times New Roman" w:hAnsi="Times New Roman" w:cs="Times New Roman"/>
        </w:rPr>
        <w:t xml:space="preserve">  In </w:t>
      </w:r>
      <w:r w:rsidRPr="00320ADF">
        <w:rPr>
          <w:rFonts w:ascii="Times New Roman" w:hAnsi="Times New Roman" w:cs="Times New Roman"/>
          <w:i/>
          <w:iCs/>
        </w:rPr>
        <w:t>Oregon v. Monsanto</w:t>
      </w:r>
      <w:r w:rsidRPr="00320ADF">
        <w:rPr>
          <w:rFonts w:ascii="Times New Roman" w:hAnsi="Times New Roman" w:cs="Times New Roman"/>
        </w:rPr>
        <w:t>, the court squarely rejected Monsanto’s position that a manufacturer could not be liable for trespass claims, stating, “Defendants cite no authority for the proposition that the general elements of trespass do not apply to a party whose relevant actions were in the context of manufacturing a product and/or placing that product into a stream of commerce.”</w:t>
      </w:r>
      <w:r w:rsidR="00281711" w:rsidRPr="00320ADF">
        <w:rPr>
          <w:rStyle w:val="FootnoteReference"/>
          <w:rFonts w:ascii="Times New Roman" w:hAnsi="Times New Roman" w:cs="Times New Roman"/>
        </w:rPr>
        <w:footnoteReference w:id="50"/>
      </w:r>
      <w:r w:rsidRPr="00320ADF">
        <w:rPr>
          <w:rFonts w:ascii="Times New Roman" w:hAnsi="Times New Roman" w:cs="Times New Roman"/>
        </w:rPr>
        <w:t xml:space="preserve"> </w:t>
      </w:r>
      <w:r w:rsidR="003539C1">
        <w:rPr>
          <w:rFonts w:ascii="Times New Roman" w:hAnsi="Times New Roman" w:cs="Times New Roman"/>
        </w:rPr>
        <w:t xml:space="preserve"> </w:t>
      </w:r>
    </w:p>
    <w:p w:rsidR="00B3013B" w:rsidRPr="00320ADF" w:rsidRDefault="00B3013B" w:rsidP="00B3013B">
      <w:pPr>
        <w:autoSpaceDE w:val="0"/>
        <w:autoSpaceDN w:val="0"/>
        <w:adjustRightInd w:val="0"/>
        <w:spacing w:line="480" w:lineRule="auto"/>
        <w:ind w:firstLine="510"/>
        <w:jc w:val="both"/>
        <w:rPr>
          <w:rFonts w:ascii="Times New Roman" w:hAnsi="Times New Roman" w:cs="Times New Roman"/>
          <w:b/>
          <w:bCs/>
          <w:w w:val="110"/>
        </w:rPr>
      </w:pPr>
      <w:r w:rsidRPr="00320ADF">
        <w:rPr>
          <w:rFonts w:ascii="Times New Roman" w:hAnsi="Times New Roman" w:cs="Times New Roman"/>
        </w:rPr>
        <w:t xml:space="preserve">Similarly, in the MBTE context, several (though not all) cases have established producer liability for environmental contamination.  In the </w:t>
      </w:r>
      <w:r w:rsidRPr="00320ADF">
        <w:rPr>
          <w:rFonts w:ascii="Times New Roman" w:hAnsi="Times New Roman" w:cs="Times New Roman"/>
          <w:w w:val="110"/>
        </w:rPr>
        <w:t>Second</w:t>
      </w:r>
      <w:r w:rsidRPr="00320ADF">
        <w:rPr>
          <w:rFonts w:ascii="Times New Roman" w:hAnsi="Times New Roman" w:cs="Times New Roman"/>
          <w:spacing w:val="-14"/>
          <w:w w:val="110"/>
        </w:rPr>
        <w:t xml:space="preserve"> </w:t>
      </w:r>
      <w:r w:rsidRPr="00320ADF">
        <w:rPr>
          <w:rFonts w:ascii="Times New Roman" w:hAnsi="Times New Roman" w:cs="Times New Roman"/>
          <w:w w:val="110"/>
        </w:rPr>
        <w:t>Circuit’s</w:t>
      </w:r>
      <w:r w:rsidRPr="00320ADF">
        <w:rPr>
          <w:rFonts w:ascii="Times New Roman" w:hAnsi="Times New Roman" w:cs="Times New Roman"/>
          <w:spacing w:val="-16"/>
          <w:w w:val="110"/>
        </w:rPr>
        <w:t xml:space="preserve"> </w:t>
      </w:r>
      <w:r w:rsidRPr="00320ADF">
        <w:rPr>
          <w:rFonts w:ascii="Times New Roman" w:hAnsi="Times New Roman" w:cs="Times New Roman"/>
          <w:w w:val="110"/>
        </w:rPr>
        <w:t>opinion</w:t>
      </w:r>
      <w:r w:rsidRPr="00320ADF">
        <w:rPr>
          <w:rFonts w:ascii="Times New Roman" w:hAnsi="Times New Roman" w:cs="Times New Roman"/>
          <w:spacing w:val="-15"/>
          <w:w w:val="110"/>
        </w:rPr>
        <w:t xml:space="preserve"> </w:t>
      </w:r>
      <w:r w:rsidRPr="00320ADF">
        <w:rPr>
          <w:rFonts w:ascii="Times New Roman" w:hAnsi="Times New Roman" w:cs="Times New Roman"/>
          <w:w w:val="110"/>
        </w:rPr>
        <w:t>in</w:t>
      </w:r>
      <w:r w:rsidRPr="00320ADF">
        <w:rPr>
          <w:rFonts w:ascii="Times New Roman" w:hAnsi="Times New Roman" w:cs="Times New Roman"/>
          <w:spacing w:val="-16"/>
          <w:w w:val="110"/>
        </w:rPr>
        <w:t xml:space="preserve"> </w:t>
      </w:r>
      <w:r w:rsidRPr="00320ADF">
        <w:rPr>
          <w:rFonts w:ascii="Times New Roman" w:hAnsi="Times New Roman" w:cs="Times New Roman"/>
          <w:i/>
          <w:w w:val="110"/>
        </w:rPr>
        <w:t>In</w:t>
      </w:r>
      <w:r w:rsidRPr="00320ADF">
        <w:rPr>
          <w:rFonts w:ascii="Times New Roman" w:hAnsi="Times New Roman" w:cs="Times New Roman"/>
          <w:i/>
          <w:spacing w:val="-18"/>
          <w:w w:val="110"/>
        </w:rPr>
        <w:t xml:space="preserve"> </w:t>
      </w:r>
      <w:r w:rsidRPr="00320ADF">
        <w:rPr>
          <w:rFonts w:ascii="Times New Roman" w:hAnsi="Times New Roman" w:cs="Times New Roman"/>
          <w:i/>
          <w:w w:val="110"/>
        </w:rPr>
        <w:t>re</w:t>
      </w:r>
      <w:r w:rsidRPr="00320ADF">
        <w:rPr>
          <w:rFonts w:ascii="Times New Roman" w:hAnsi="Times New Roman" w:cs="Times New Roman"/>
          <w:i/>
          <w:spacing w:val="-17"/>
          <w:w w:val="110"/>
        </w:rPr>
        <w:t xml:space="preserve"> </w:t>
      </w:r>
      <w:r w:rsidRPr="00320ADF">
        <w:rPr>
          <w:rFonts w:ascii="Times New Roman" w:hAnsi="Times New Roman" w:cs="Times New Roman"/>
          <w:i/>
          <w:w w:val="110"/>
        </w:rPr>
        <w:t>MTBE</w:t>
      </w:r>
      <w:r w:rsidRPr="00320ADF">
        <w:rPr>
          <w:rFonts w:ascii="Times New Roman" w:hAnsi="Times New Roman" w:cs="Times New Roman"/>
          <w:i/>
          <w:spacing w:val="-19"/>
          <w:w w:val="110"/>
        </w:rPr>
        <w:t xml:space="preserve"> </w:t>
      </w:r>
      <w:r w:rsidRPr="00320ADF">
        <w:rPr>
          <w:rFonts w:ascii="Times New Roman" w:hAnsi="Times New Roman" w:cs="Times New Roman"/>
          <w:i/>
          <w:w w:val="110"/>
        </w:rPr>
        <w:t xml:space="preserve">Products </w:t>
      </w:r>
      <w:r w:rsidRPr="00320ADF">
        <w:rPr>
          <w:rFonts w:ascii="Times New Roman" w:hAnsi="Times New Roman" w:cs="Times New Roman"/>
          <w:i/>
          <w:w w:val="95"/>
        </w:rPr>
        <w:t>L</w:t>
      </w:r>
      <w:r w:rsidRPr="00320ADF">
        <w:rPr>
          <w:rFonts w:ascii="Times New Roman" w:hAnsi="Times New Roman" w:cs="Times New Roman"/>
          <w:i/>
          <w:spacing w:val="-1"/>
          <w:w w:val="95"/>
        </w:rPr>
        <w:t>i</w:t>
      </w:r>
      <w:r w:rsidRPr="00320ADF">
        <w:rPr>
          <w:rFonts w:ascii="Times New Roman" w:hAnsi="Times New Roman" w:cs="Times New Roman"/>
          <w:i/>
          <w:w w:val="99"/>
        </w:rPr>
        <w:t>ab</w:t>
      </w:r>
      <w:r w:rsidRPr="00320ADF">
        <w:rPr>
          <w:rFonts w:ascii="Times New Roman" w:hAnsi="Times New Roman" w:cs="Times New Roman"/>
          <w:i/>
          <w:spacing w:val="-1"/>
          <w:w w:val="99"/>
        </w:rPr>
        <w:t>i</w:t>
      </w:r>
      <w:r w:rsidRPr="00320ADF">
        <w:rPr>
          <w:rFonts w:ascii="Times New Roman" w:hAnsi="Times New Roman" w:cs="Times New Roman"/>
          <w:i/>
          <w:spacing w:val="-1"/>
          <w:w w:val="95"/>
        </w:rPr>
        <w:t>li</w:t>
      </w:r>
      <w:r w:rsidRPr="00320ADF">
        <w:rPr>
          <w:rFonts w:ascii="Times New Roman" w:hAnsi="Times New Roman" w:cs="Times New Roman"/>
          <w:i/>
          <w:w w:val="114"/>
        </w:rPr>
        <w:t>t</w:t>
      </w:r>
      <w:r w:rsidRPr="00320ADF">
        <w:rPr>
          <w:rFonts w:ascii="Times New Roman" w:hAnsi="Times New Roman" w:cs="Times New Roman"/>
          <w:i/>
          <w:w w:val="107"/>
        </w:rPr>
        <w:t>y</w:t>
      </w:r>
      <w:r w:rsidRPr="00320ADF">
        <w:rPr>
          <w:rFonts w:ascii="Times New Roman" w:hAnsi="Times New Roman" w:cs="Times New Roman"/>
          <w:i/>
        </w:rPr>
        <w:t xml:space="preserve"> </w:t>
      </w:r>
      <w:r w:rsidRPr="00320ADF">
        <w:rPr>
          <w:rFonts w:ascii="Times New Roman" w:hAnsi="Times New Roman" w:cs="Times New Roman"/>
          <w:i/>
          <w:spacing w:val="-15"/>
        </w:rPr>
        <w:t xml:space="preserve"> </w:t>
      </w:r>
      <w:r w:rsidRPr="00320ADF">
        <w:rPr>
          <w:rFonts w:ascii="Times New Roman" w:hAnsi="Times New Roman" w:cs="Times New Roman"/>
          <w:i/>
          <w:w w:val="95"/>
        </w:rPr>
        <w:t>L</w:t>
      </w:r>
      <w:r w:rsidRPr="00320ADF">
        <w:rPr>
          <w:rFonts w:ascii="Times New Roman" w:hAnsi="Times New Roman" w:cs="Times New Roman"/>
          <w:i/>
          <w:spacing w:val="-2"/>
          <w:w w:val="95"/>
        </w:rPr>
        <w:t>i</w:t>
      </w:r>
      <w:r w:rsidRPr="00320ADF">
        <w:rPr>
          <w:rFonts w:ascii="Times New Roman" w:hAnsi="Times New Roman" w:cs="Times New Roman"/>
          <w:i/>
          <w:w w:val="104"/>
        </w:rPr>
        <w:t>t</w:t>
      </w:r>
      <w:r w:rsidRPr="00320ADF">
        <w:rPr>
          <w:rFonts w:ascii="Times New Roman" w:hAnsi="Times New Roman" w:cs="Times New Roman"/>
          <w:i/>
          <w:spacing w:val="-1"/>
          <w:w w:val="104"/>
        </w:rPr>
        <w:t>i</w:t>
      </w:r>
      <w:r w:rsidRPr="00320ADF">
        <w:rPr>
          <w:rFonts w:ascii="Times New Roman" w:hAnsi="Times New Roman" w:cs="Times New Roman"/>
          <w:i/>
          <w:spacing w:val="-1"/>
          <w:w w:val="95"/>
        </w:rPr>
        <w:t>g</w:t>
      </w:r>
      <w:r w:rsidRPr="00320ADF">
        <w:rPr>
          <w:rFonts w:ascii="Times New Roman" w:hAnsi="Times New Roman" w:cs="Times New Roman"/>
          <w:i/>
          <w:w w:val="95"/>
        </w:rPr>
        <w:t>a</w:t>
      </w:r>
      <w:r w:rsidRPr="00320ADF">
        <w:rPr>
          <w:rFonts w:ascii="Times New Roman" w:hAnsi="Times New Roman" w:cs="Times New Roman"/>
          <w:i/>
          <w:w w:val="104"/>
        </w:rPr>
        <w:t>t</w:t>
      </w:r>
      <w:r w:rsidRPr="00320ADF">
        <w:rPr>
          <w:rFonts w:ascii="Times New Roman" w:hAnsi="Times New Roman" w:cs="Times New Roman"/>
          <w:i/>
          <w:spacing w:val="-1"/>
          <w:w w:val="104"/>
        </w:rPr>
        <w:t>i</w:t>
      </w:r>
      <w:r w:rsidRPr="00320ADF">
        <w:rPr>
          <w:rFonts w:ascii="Times New Roman" w:hAnsi="Times New Roman" w:cs="Times New Roman"/>
          <w:i/>
          <w:spacing w:val="-2"/>
          <w:w w:val="106"/>
        </w:rPr>
        <w:t>o</w:t>
      </w:r>
      <w:r w:rsidRPr="00320ADF">
        <w:rPr>
          <w:rFonts w:ascii="Times New Roman" w:hAnsi="Times New Roman" w:cs="Times New Roman"/>
          <w:i/>
          <w:w w:val="106"/>
        </w:rPr>
        <w:t>n</w:t>
      </w:r>
      <w:r w:rsidRPr="00320ADF">
        <w:rPr>
          <w:rFonts w:ascii="Times New Roman" w:hAnsi="Times New Roman" w:cs="Times New Roman"/>
          <w:spacing w:val="-1"/>
        </w:rPr>
        <w:t xml:space="preserve">, </w:t>
      </w:r>
      <w:r w:rsidRPr="00320ADF">
        <w:rPr>
          <w:rFonts w:ascii="Times New Roman" w:hAnsi="Times New Roman" w:cs="Times New Roman"/>
          <w:w w:val="114"/>
        </w:rPr>
        <w:t>t</w:t>
      </w:r>
      <w:r w:rsidRPr="00320ADF">
        <w:rPr>
          <w:rFonts w:ascii="Times New Roman" w:hAnsi="Times New Roman" w:cs="Times New Roman"/>
          <w:spacing w:val="-2"/>
          <w:w w:val="114"/>
        </w:rPr>
        <w:t>h</w:t>
      </w:r>
      <w:r w:rsidRPr="00320ADF">
        <w:rPr>
          <w:rFonts w:ascii="Times New Roman" w:hAnsi="Times New Roman" w:cs="Times New Roman"/>
          <w:w w:val="112"/>
        </w:rPr>
        <w:t>e</w:t>
      </w:r>
      <w:r w:rsidRPr="00320ADF">
        <w:rPr>
          <w:rFonts w:ascii="Times New Roman" w:hAnsi="Times New Roman" w:cs="Times New Roman"/>
        </w:rPr>
        <w:t xml:space="preserve"> </w:t>
      </w:r>
      <w:r w:rsidRPr="00320ADF">
        <w:rPr>
          <w:rFonts w:ascii="Times New Roman" w:hAnsi="Times New Roman" w:cs="Times New Roman"/>
          <w:spacing w:val="-10"/>
        </w:rPr>
        <w:t xml:space="preserve"> </w:t>
      </w:r>
      <w:r w:rsidRPr="00320ADF">
        <w:rPr>
          <w:rFonts w:ascii="Times New Roman" w:hAnsi="Times New Roman" w:cs="Times New Roman"/>
          <w:spacing w:val="-1"/>
          <w:w w:val="112"/>
        </w:rPr>
        <w:t>c</w:t>
      </w:r>
      <w:r w:rsidRPr="00320ADF">
        <w:rPr>
          <w:rFonts w:ascii="Times New Roman" w:hAnsi="Times New Roman" w:cs="Times New Roman"/>
          <w:spacing w:val="-2"/>
          <w:w w:val="111"/>
        </w:rPr>
        <w:t>o</w:t>
      </w:r>
      <w:r w:rsidRPr="00320ADF">
        <w:rPr>
          <w:rFonts w:ascii="Times New Roman" w:hAnsi="Times New Roman" w:cs="Times New Roman"/>
          <w:w w:val="115"/>
        </w:rPr>
        <w:t>urt</w:t>
      </w:r>
      <w:r w:rsidRPr="00320ADF">
        <w:rPr>
          <w:rFonts w:ascii="Times New Roman" w:hAnsi="Times New Roman" w:cs="Times New Roman"/>
        </w:rPr>
        <w:t xml:space="preserve"> </w:t>
      </w:r>
      <w:r w:rsidRPr="00320ADF">
        <w:rPr>
          <w:rFonts w:ascii="Times New Roman" w:hAnsi="Times New Roman" w:cs="Times New Roman"/>
          <w:spacing w:val="-11"/>
        </w:rPr>
        <w:t xml:space="preserve"> </w:t>
      </w:r>
      <w:r w:rsidRPr="00320ADF">
        <w:rPr>
          <w:rFonts w:ascii="Times New Roman" w:hAnsi="Times New Roman" w:cs="Times New Roman"/>
          <w:w w:val="107"/>
        </w:rPr>
        <w:t>a</w:t>
      </w:r>
      <w:r w:rsidRPr="00320ADF">
        <w:rPr>
          <w:rFonts w:ascii="Times New Roman" w:hAnsi="Times New Roman" w:cs="Times New Roman"/>
          <w:spacing w:val="-1"/>
          <w:w w:val="107"/>
        </w:rPr>
        <w:t>f</w:t>
      </w:r>
      <w:r w:rsidRPr="00320ADF">
        <w:rPr>
          <w:rFonts w:ascii="Times New Roman" w:hAnsi="Times New Roman" w:cs="Times New Roman"/>
        </w:rPr>
        <w:t>f</w:t>
      </w:r>
      <w:r w:rsidRPr="00320ADF">
        <w:rPr>
          <w:rFonts w:ascii="Times New Roman" w:hAnsi="Times New Roman" w:cs="Times New Roman"/>
          <w:spacing w:val="-1"/>
        </w:rPr>
        <w:t>i</w:t>
      </w:r>
      <w:r w:rsidRPr="00320ADF">
        <w:rPr>
          <w:rFonts w:ascii="Times New Roman" w:hAnsi="Times New Roman" w:cs="Times New Roman"/>
          <w:w w:val="110"/>
        </w:rPr>
        <w:t>rm</w:t>
      </w:r>
      <w:r w:rsidRPr="00320ADF">
        <w:rPr>
          <w:rFonts w:ascii="Times New Roman" w:hAnsi="Times New Roman" w:cs="Times New Roman"/>
          <w:spacing w:val="-1"/>
          <w:w w:val="110"/>
        </w:rPr>
        <w:t>e</w:t>
      </w:r>
      <w:r w:rsidRPr="00320ADF">
        <w:rPr>
          <w:rFonts w:ascii="Times New Roman" w:hAnsi="Times New Roman" w:cs="Times New Roman"/>
          <w:w w:val="111"/>
        </w:rPr>
        <w:t>d</w:t>
      </w:r>
      <w:r w:rsidRPr="00320ADF">
        <w:rPr>
          <w:rFonts w:ascii="Times New Roman" w:hAnsi="Times New Roman" w:cs="Times New Roman"/>
        </w:rPr>
        <w:t xml:space="preserve"> </w:t>
      </w:r>
      <w:r w:rsidRPr="00320ADF">
        <w:rPr>
          <w:rFonts w:ascii="Times New Roman" w:hAnsi="Times New Roman" w:cs="Times New Roman"/>
          <w:spacing w:val="-10"/>
        </w:rPr>
        <w:t xml:space="preserve"> </w:t>
      </w:r>
      <w:r w:rsidRPr="00320ADF">
        <w:rPr>
          <w:rFonts w:ascii="Times New Roman" w:hAnsi="Times New Roman" w:cs="Times New Roman"/>
          <w:w w:val="112"/>
        </w:rPr>
        <w:t>a</w:t>
      </w:r>
      <w:r w:rsidRPr="00320ADF">
        <w:rPr>
          <w:rFonts w:ascii="Times New Roman" w:hAnsi="Times New Roman" w:cs="Times New Roman"/>
        </w:rPr>
        <w:t xml:space="preserve"> </w:t>
      </w:r>
      <w:r w:rsidRPr="00320ADF">
        <w:rPr>
          <w:rFonts w:ascii="Times New Roman" w:hAnsi="Times New Roman" w:cs="Times New Roman"/>
          <w:spacing w:val="-10"/>
        </w:rPr>
        <w:t xml:space="preserve"> </w:t>
      </w:r>
      <w:r w:rsidRPr="00320ADF">
        <w:rPr>
          <w:rFonts w:ascii="Times New Roman" w:hAnsi="Times New Roman" w:cs="Times New Roman"/>
          <w:spacing w:val="-1"/>
        </w:rPr>
        <w:t>j</w:t>
      </w:r>
      <w:r w:rsidRPr="00320ADF">
        <w:rPr>
          <w:rFonts w:ascii="Times New Roman" w:hAnsi="Times New Roman" w:cs="Times New Roman"/>
          <w:w w:val="111"/>
        </w:rPr>
        <w:t>u</w:t>
      </w:r>
      <w:r w:rsidRPr="00320ADF">
        <w:rPr>
          <w:rFonts w:ascii="Times New Roman" w:hAnsi="Times New Roman" w:cs="Times New Roman"/>
        </w:rPr>
        <w:t xml:space="preserve">ry’s </w:t>
      </w:r>
      <w:r w:rsidRPr="00320ADF">
        <w:rPr>
          <w:rFonts w:ascii="Times New Roman" w:hAnsi="Times New Roman" w:cs="Times New Roman"/>
          <w:spacing w:val="-11"/>
        </w:rPr>
        <w:t xml:space="preserve"> </w:t>
      </w:r>
      <w:r w:rsidRPr="00320ADF">
        <w:rPr>
          <w:rFonts w:ascii="Times New Roman" w:hAnsi="Times New Roman" w:cs="Times New Roman"/>
        </w:rPr>
        <w:t>f</w:t>
      </w:r>
      <w:r w:rsidRPr="00320ADF">
        <w:rPr>
          <w:rFonts w:ascii="Times New Roman" w:hAnsi="Times New Roman" w:cs="Times New Roman"/>
          <w:spacing w:val="-1"/>
        </w:rPr>
        <w:t>i</w:t>
      </w:r>
      <w:r w:rsidRPr="00320ADF">
        <w:rPr>
          <w:rFonts w:ascii="Times New Roman" w:hAnsi="Times New Roman" w:cs="Times New Roman"/>
          <w:w w:val="108"/>
        </w:rPr>
        <w:t>nd</w:t>
      </w:r>
      <w:r w:rsidRPr="00320ADF">
        <w:rPr>
          <w:rFonts w:ascii="Times New Roman" w:hAnsi="Times New Roman" w:cs="Times New Roman"/>
          <w:spacing w:val="-2"/>
          <w:w w:val="108"/>
        </w:rPr>
        <w:t>i</w:t>
      </w:r>
      <w:r w:rsidRPr="00320ADF">
        <w:rPr>
          <w:rFonts w:ascii="Times New Roman" w:hAnsi="Times New Roman" w:cs="Times New Roman"/>
          <w:w w:val="105"/>
        </w:rPr>
        <w:t>ng</w:t>
      </w:r>
      <w:r w:rsidRPr="00320ADF">
        <w:rPr>
          <w:rFonts w:ascii="Times New Roman" w:hAnsi="Times New Roman" w:cs="Times New Roman"/>
        </w:rPr>
        <w:t xml:space="preserve"> </w:t>
      </w:r>
      <w:r w:rsidRPr="00320ADF">
        <w:rPr>
          <w:rFonts w:ascii="Times New Roman" w:hAnsi="Times New Roman" w:cs="Times New Roman"/>
          <w:spacing w:val="-10"/>
        </w:rPr>
        <w:t xml:space="preserve"> </w:t>
      </w:r>
      <w:r w:rsidRPr="00320ADF">
        <w:rPr>
          <w:rFonts w:ascii="Times New Roman" w:hAnsi="Times New Roman" w:cs="Times New Roman"/>
          <w:spacing w:val="-1"/>
          <w:w w:val="120"/>
        </w:rPr>
        <w:t>t</w:t>
      </w:r>
      <w:r w:rsidRPr="00320ADF">
        <w:rPr>
          <w:rFonts w:ascii="Times New Roman" w:hAnsi="Times New Roman" w:cs="Times New Roman"/>
          <w:spacing w:val="-2"/>
          <w:w w:val="111"/>
        </w:rPr>
        <w:t>h</w:t>
      </w:r>
      <w:r w:rsidRPr="00320ADF">
        <w:rPr>
          <w:rFonts w:ascii="Times New Roman" w:hAnsi="Times New Roman" w:cs="Times New Roman"/>
          <w:spacing w:val="-1"/>
          <w:w w:val="112"/>
        </w:rPr>
        <w:t>a</w:t>
      </w:r>
      <w:r w:rsidRPr="00320ADF">
        <w:rPr>
          <w:rFonts w:ascii="Times New Roman" w:hAnsi="Times New Roman" w:cs="Times New Roman"/>
          <w:w w:val="120"/>
        </w:rPr>
        <w:t xml:space="preserve">t </w:t>
      </w:r>
      <w:r w:rsidRPr="00320ADF">
        <w:rPr>
          <w:rFonts w:ascii="Times New Roman" w:hAnsi="Times New Roman" w:cs="Times New Roman"/>
          <w:w w:val="110"/>
        </w:rPr>
        <w:t>ExxonMobil was liable for groundwater contamination based on theories of trespass, public nuisance, negligence, and failure to warn.</w:t>
      </w:r>
      <w:r w:rsidR="00281711" w:rsidRPr="00320ADF">
        <w:rPr>
          <w:rStyle w:val="FootnoteReference"/>
          <w:rFonts w:ascii="Times New Roman" w:hAnsi="Times New Roman" w:cs="Times New Roman"/>
          <w:w w:val="110"/>
        </w:rPr>
        <w:footnoteReference w:id="51"/>
      </w:r>
      <w:r w:rsidRPr="00320ADF">
        <w:rPr>
          <w:rFonts w:ascii="Times New Roman" w:hAnsi="Times New Roman" w:cs="Times New Roman"/>
          <w:w w:val="110"/>
          <w:position w:val="10"/>
        </w:rPr>
        <w:t xml:space="preserve">  </w:t>
      </w:r>
      <w:r w:rsidRPr="00320ADF">
        <w:rPr>
          <w:rFonts w:ascii="Times New Roman" w:hAnsi="Times New Roman" w:cs="Times New Roman"/>
          <w:w w:val="110"/>
        </w:rPr>
        <w:t>While Exxon argued</w:t>
      </w:r>
      <w:r w:rsidRPr="00320ADF">
        <w:rPr>
          <w:rFonts w:ascii="Times New Roman" w:hAnsi="Times New Roman" w:cs="Times New Roman"/>
          <w:spacing w:val="-5"/>
          <w:w w:val="110"/>
        </w:rPr>
        <w:t xml:space="preserve"> </w:t>
      </w:r>
      <w:r w:rsidRPr="00320ADF">
        <w:rPr>
          <w:rFonts w:ascii="Times New Roman" w:hAnsi="Times New Roman" w:cs="Times New Roman"/>
          <w:w w:val="110"/>
        </w:rPr>
        <w:t>that</w:t>
      </w:r>
      <w:r w:rsidRPr="00320ADF">
        <w:rPr>
          <w:rFonts w:ascii="Times New Roman" w:hAnsi="Times New Roman" w:cs="Times New Roman"/>
          <w:spacing w:val="-5"/>
          <w:w w:val="110"/>
        </w:rPr>
        <w:t xml:space="preserve"> </w:t>
      </w:r>
      <w:r w:rsidRPr="00320ADF">
        <w:rPr>
          <w:rFonts w:ascii="Times New Roman" w:hAnsi="Times New Roman" w:cs="Times New Roman"/>
          <w:w w:val="110"/>
        </w:rPr>
        <w:t>its</w:t>
      </w:r>
      <w:r w:rsidRPr="00320ADF">
        <w:rPr>
          <w:rFonts w:ascii="Times New Roman" w:hAnsi="Times New Roman" w:cs="Times New Roman"/>
          <w:spacing w:val="-5"/>
          <w:w w:val="110"/>
        </w:rPr>
        <w:t xml:space="preserve"> </w:t>
      </w:r>
      <w:r w:rsidRPr="00320ADF">
        <w:rPr>
          <w:rFonts w:ascii="Times New Roman" w:hAnsi="Times New Roman" w:cs="Times New Roman"/>
          <w:w w:val="110"/>
        </w:rPr>
        <w:t>actions</w:t>
      </w:r>
      <w:r w:rsidRPr="00320ADF">
        <w:rPr>
          <w:rFonts w:ascii="Times New Roman" w:hAnsi="Times New Roman" w:cs="Times New Roman"/>
          <w:spacing w:val="-5"/>
          <w:w w:val="110"/>
        </w:rPr>
        <w:t xml:space="preserve"> </w:t>
      </w:r>
      <w:r w:rsidRPr="00320ADF">
        <w:rPr>
          <w:rFonts w:ascii="Times New Roman" w:hAnsi="Times New Roman" w:cs="Times New Roman"/>
          <w:w w:val="110"/>
        </w:rPr>
        <w:t>as</w:t>
      </w:r>
      <w:r w:rsidRPr="00320ADF">
        <w:rPr>
          <w:rFonts w:ascii="Times New Roman" w:hAnsi="Times New Roman" w:cs="Times New Roman"/>
          <w:spacing w:val="-5"/>
          <w:w w:val="110"/>
        </w:rPr>
        <w:t xml:space="preserve"> </w:t>
      </w:r>
      <w:r w:rsidRPr="00320ADF">
        <w:rPr>
          <w:rFonts w:ascii="Times New Roman" w:hAnsi="Times New Roman" w:cs="Times New Roman"/>
          <w:w w:val="110"/>
        </w:rPr>
        <w:t>a</w:t>
      </w:r>
      <w:r w:rsidRPr="00320ADF">
        <w:rPr>
          <w:rFonts w:ascii="Times New Roman" w:hAnsi="Times New Roman" w:cs="Times New Roman"/>
          <w:spacing w:val="-4"/>
          <w:w w:val="110"/>
        </w:rPr>
        <w:t xml:space="preserve"> </w:t>
      </w:r>
      <w:r w:rsidRPr="00320ADF">
        <w:rPr>
          <w:rFonts w:ascii="Times New Roman" w:hAnsi="Times New Roman" w:cs="Times New Roman"/>
          <w:w w:val="110"/>
        </w:rPr>
        <w:t>“‘mere</w:t>
      </w:r>
      <w:r w:rsidRPr="00320ADF">
        <w:rPr>
          <w:rFonts w:ascii="Times New Roman" w:hAnsi="Times New Roman" w:cs="Times New Roman"/>
          <w:spacing w:val="-4"/>
          <w:w w:val="110"/>
        </w:rPr>
        <w:t xml:space="preserve"> </w:t>
      </w:r>
      <w:r w:rsidRPr="00320ADF">
        <w:rPr>
          <w:rFonts w:ascii="Times New Roman" w:hAnsi="Times New Roman" w:cs="Times New Roman"/>
          <w:w w:val="110"/>
        </w:rPr>
        <w:t>refiner</w:t>
      </w:r>
      <w:r w:rsidRPr="00320ADF">
        <w:rPr>
          <w:rFonts w:ascii="Times New Roman" w:hAnsi="Times New Roman" w:cs="Times New Roman"/>
          <w:spacing w:val="-4"/>
          <w:w w:val="110"/>
        </w:rPr>
        <w:t xml:space="preserve"> </w:t>
      </w:r>
      <w:r w:rsidRPr="00320ADF">
        <w:rPr>
          <w:rFonts w:ascii="Times New Roman" w:hAnsi="Times New Roman" w:cs="Times New Roman"/>
          <w:w w:val="110"/>
        </w:rPr>
        <w:t>and</w:t>
      </w:r>
      <w:r w:rsidRPr="00320ADF">
        <w:rPr>
          <w:rFonts w:ascii="Times New Roman" w:hAnsi="Times New Roman" w:cs="Times New Roman"/>
          <w:spacing w:val="-4"/>
          <w:w w:val="110"/>
        </w:rPr>
        <w:t xml:space="preserve"> </w:t>
      </w:r>
      <w:r w:rsidRPr="00320ADF">
        <w:rPr>
          <w:rFonts w:ascii="Times New Roman" w:hAnsi="Times New Roman" w:cs="Times New Roman"/>
          <w:w w:val="110"/>
        </w:rPr>
        <w:t>supplier’</w:t>
      </w:r>
      <w:r w:rsidRPr="00320ADF">
        <w:rPr>
          <w:rFonts w:ascii="Times New Roman" w:hAnsi="Times New Roman" w:cs="Times New Roman"/>
          <w:spacing w:val="-4"/>
          <w:w w:val="110"/>
        </w:rPr>
        <w:t xml:space="preserve"> </w:t>
      </w:r>
      <w:r w:rsidRPr="00320ADF">
        <w:rPr>
          <w:rFonts w:ascii="Times New Roman" w:hAnsi="Times New Roman" w:cs="Times New Roman"/>
          <w:w w:val="110"/>
        </w:rPr>
        <w:t>of</w:t>
      </w:r>
      <w:r w:rsidRPr="00320ADF">
        <w:rPr>
          <w:rFonts w:ascii="Times New Roman" w:hAnsi="Times New Roman" w:cs="Times New Roman"/>
          <w:spacing w:val="-5"/>
          <w:w w:val="110"/>
        </w:rPr>
        <w:t xml:space="preserve"> </w:t>
      </w:r>
      <w:r w:rsidRPr="00320ADF">
        <w:rPr>
          <w:rFonts w:ascii="Times New Roman" w:hAnsi="Times New Roman" w:cs="Times New Roman"/>
          <w:w w:val="110"/>
        </w:rPr>
        <w:t>gasoline</w:t>
      </w:r>
      <w:r w:rsidRPr="00320ADF">
        <w:rPr>
          <w:rFonts w:ascii="Times New Roman" w:hAnsi="Times New Roman" w:cs="Times New Roman"/>
          <w:spacing w:val="-4"/>
          <w:w w:val="110"/>
        </w:rPr>
        <w:t xml:space="preserve"> </w:t>
      </w:r>
      <w:r w:rsidRPr="00320ADF">
        <w:rPr>
          <w:rFonts w:ascii="Times New Roman" w:hAnsi="Times New Roman" w:cs="Times New Roman"/>
          <w:w w:val="110"/>
        </w:rPr>
        <w:t>were</w:t>
      </w:r>
      <w:r w:rsidRPr="00320ADF">
        <w:rPr>
          <w:rFonts w:ascii="Times New Roman" w:hAnsi="Times New Roman" w:cs="Times New Roman"/>
          <w:spacing w:val="-3"/>
          <w:w w:val="110"/>
        </w:rPr>
        <w:t xml:space="preserve"> </w:t>
      </w:r>
      <w:r w:rsidRPr="00320ADF">
        <w:rPr>
          <w:rFonts w:ascii="Times New Roman" w:hAnsi="Times New Roman" w:cs="Times New Roman"/>
          <w:w w:val="110"/>
        </w:rPr>
        <w:t>‘too remote from any actual spills or leaks,’” the court found Exxon liable because the corporation knew that the gasoline it sold would be spilled.</w:t>
      </w:r>
      <w:r w:rsidRPr="00320ADF">
        <w:rPr>
          <w:rStyle w:val="FootnoteReference"/>
          <w:rFonts w:ascii="Times New Roman" w:hAnsi="Times New Roman" w:cs="Times New Roman"/>
          <w:w w:val="110"/>
        </w:rPr>
        <w:footnoteReference w:id="52"/>
      </w:r>
      <w:r w:rsidRPr="00320ADF">
        <w:rPr>
          <w:rFonts w:ascii="Times New Roman" w:hAnsi="Times New Roman" w:cs="Times New Roman"/>
          <w:w w:val="110"/>
        </w:rPr>
        <w:t xml:space="preserve">  In both the PCB and MTBE cases, a common thread is producer knowledge regarding the effects of the product in question.</w:t>
      </w:r>
      <w:r w:rsidR="00B84648" w:rsidRPr="00320ADF">
        <w:rPr>
          <w:rFonts w:ascii="Times New Roman" w:hAnsi="Times New Roman" w:cs="Times New Roman"/>
          <w:w w:val="110"/>
        </w:rPr>
        <w:t xml:space="preserve"> </w:t>
      </w:r>
      <w:r w:rsidRPr="00320ADF">
        <w:rPr>
          <w:rFonts w:ascii="Times New Roman" w:hAnsi="Times New Roman" w:cs="Times New Roman"/>
          <w:w w:val="110"/>
        </w:rPr>
        <w:t>The ongoing climate adaptation liability cases provide a robust evidentiary platform alleging producer knowledge of the harmful effects of fossil fuel emissions on the climate system</w:t>
      </w:r>
      <w:r w:rsidR="00046D76" w:rsidRPr="00320ADF">
        <w:rPr>
          <w:rFonts w:ascii="Times New Roman" w:hAnsi="Times New Roman" w:cs="Times New Roman"/>
          <w:w w:val="110"/>
        </w:rPr>
        <w:t>.</w:t>
      </w:r>
      <w:r w:rsidRPr="00320ADF">
        <w:rPr>
          <w:rFonts w:ascii="Times New Roman" w:hAnsi="Times New Roman" w:cs="Times New Roman"/>
          <w:w w:val="110"/>
        </w:rPr>
        <w:t xml:space="preserve"> </w:t>
      </w:r>
      <w:r w:rsidR="00281711" w:rsidRPr="00320ADF">
        <w:rPr>
          <w:rFonts w:ascii="Times New Roman" w:hAnsi="Times New Roman" w:cs="Times New Roman"/>
          <w:w w:val="110"/>
        </w:rPr>
        <w:t xml:space="preserve"> </w:t>
      </w:r>
    </w:p>
    <w:p w:rsidR="00B3013B" w:rsidRPr="00320ADF" w:rsidRDefault="00B3013B" w:rsidP="005F2650">
      <w:pPr>
        <w:pStyle w:val="ListParagraph"/>
        <w:numPr>
          <w:ilvl w:val="0"/>
          <w:numId w:val="33"/>
        </w:numPr>
        <w:spacing w:line="480" w:lineRule="auto"/>
        <w:ind w:left="810"/>
        <w:jc w:val="both"/>
        <w:rPr>
          <w:b/>
          <w:bCs/>
        </w:rPr>
      </w:pPr>
      <w:r w:rsidRPr="00320ADF">
        <w:rPr>
          <w:b/>
          <w:bCs/>
        </w:rPr>
        <w:lastRenderedPageBreak/>
        <w:t xml:space="preserve">THE CLAIMS   </w:t>
      </w:r>
      <w:r w:rsidR="00F16030" w:rsidRPr="00320ADF">
        <w:rPr>
          <w:b/>
          <w:bCs/>
        </w:rPr>
        <w:t xml:space="preserve">  </w:t>
      </w:r>
    </w:p>
    <w:p w:rsidR="00B3013B" w:rsidRPr="00320ADF" w:rsidRDefault="00B3013B" w:rsidP="00B3013B">
      <w:pPr>
        <w:spacing w:line="480" w:lineRule="auto"/>
        <w:ind w:firstLine="720"/>
        <w:jc w:val="both"/>
        <w:rPr>
          <w:rFonts w:ascii="Times New Roman" w:hAnsi="Times New Roman" w:cs="Times New Roman"/>
        </w:rPr>
      </w:pPr>
      <w:r w:rsidRPr="00320ADF">
        <w:rPr>
          <w:rFonts w:ascii="Times New Roman" w:hAnsi="Times New Roman" w:cs="Times New Roman"/>
        </w:rPr>
        <w:t>The claims in an atmospheric NRD suit may be quite varied</w:t>
      </w:r>
      <w:r w:rsidR="00675CBE" w:rsidRPr="00320ADF">
        <w:rPr>
          <w:rFonts w:ascii="Times New Roman" w:hAnsi="Times New Roman" w:cs="Times New Roman"/>
        </w:rPr>
        <w:t>, and</w:t>
      </w:r>
      <w:r w:rsidRPr="00320ADF">
        <w:rPr>
          <w:rFonts w:ascii="Times New Roman" w:hAnsi="Times New Roman" w:cs="Times New Roman"/>
        </w:rPr>
        <w:t xml:space="preserve"> this discussion only generally maps the terrain.  </w:t>
      </w:r>
      <w:r w:rsidR="00675CBE" w:rsidRPr="00320ADF">
        <w:rPr>
          <w:rFonts w:ascii="Times New Roman" w:hAnsi="Times New Roman" w:cs="Times New Roman"/>
        </w:rPr>
        <w:t>The driving</w:t>
      </w:r>
      <w:r w:rsidRPr="00320ADF">
        <w:rPr>
          <w:rFonts w:ascii="Times New Roman" w:hAnsi="Times New Roman" w:cs="Times New Roman"/>
        </w:rPr>
        <w:t xml:space="preserve"> concept</w:t>
      </w:r>
      <w:r w:rsidR="00675CBE" w:rsidRPr="00320ADF">
        <w:rPr>
          <w:rFonts w:ascii="Times New Roman" w:hAnsi="Times New Roman" w:cs="Times New Roman"/>
        </w:rPr>
        <w:t xml:space="preserve"> is simply that</w:t>
      </w:r>
      <w:r w:rsidRPr="00320ADF">
        <w:rPr>
          <w:rFonts w:ascii="Times New Roman" w:hAnsi="Times New Roman" w:cs="Times New Roman"/>
        </w:rPr>
        <w:t xml:space="preserve"> responsible </w:t>
      </w:r>
      <w:r w:rsidR="00046D76" w:rsidRPr="00320ADF">
        <w:rPr>
          <w:rFonts w:ascii="Times New Roman" w:hAnsi="Times New Roman" w:cs="Times New Roman"/>
        </w:rPr>
        <w:t xml:space="preserve">industry </w:t>
      </w:r>
      <w:r w:rsidRPr="00320ADF">
        <w:rPr>
          <w:rFonts w:ascii="Times New Roman" w:hAnsi="Times New Roman" w:cs="Times New Roman"/>
        </w:rPr>
        <w:t xml:space="preserve">parties should pay for the carbon release in the sky, just as they would be forced to pay for cleaning up a spill of oil or toxins in a waterway.  </w:t>
      </w:r>
      <w:r w:rsidR="00046D76" w:rsidRPr="00320ADF">
        <w:rPr>
          <w:rFonts w:ascii="Times New Roman" w:hAnsi="Times New Roman" w:cs="Times New Roman"/>
        </w:rPr>
        <w:t>In</w:t>
      </w:r>
      <w:r w:rsidRPr="00320ADF">
        <w:rPr>
          <w:rFonts w:ascii="Times New Roman" w:hAnsi="Times New Roman" w:cs="Times New Roman"/>
        </w:rPr>
        <w:t xml:space="preserve"> the water pollution context, sovereign trustees readily invoke statutory authority (such as the Oil Pollution Act and CERCLA) to seek natural resource damages.  There is no such obvious statutory scheme for cleaning up the sky,</w:t>
      </w:r>
      <w:r w:rsidR="00976B1A" w:rsidRPr="00320ADF">
        <w:rPr>
          <w:rStyle w:val="FootnoteReference"/>
          <w:rFonts w:ascii="Times New Roman" w:hAnsi="Times New Roman" w:cs="Times New Roman"/>
          <w:w w:val="110"/>
        </w:rPr>
        <w:footnoteReference w:id="53"/>
      </w:r>
      <w:r w:rsidR="00976B1A">
        <w:rPr>
          <w:rFonts w:ascii="Times New Roman" w:hAnsi="Times New Roman" w:cs="Times New Roman"/>
        </w:rPr>
        <w:t xml:space="preserve"> </w:t>
      </w:r>
      <w:r w:rsidRPr="00320ADF">
        <w:rPr>
          <w:rFonts w:ascii="Times New Roman" w:hAnsi="Times New Roman" w:cs="Times New Roman"/>
        </w:rPr>
        <w:t xml:space="preserve">but common law </w:t>
      </w:r>
      <w:proofErr w:type="gramStart"/>
      <w:r w:rsidRPr="00320ADF">
        <w:rPr>
          <w:rFonts w:ascii="Times New Roman" w:hAnsi="Times New Roman" w:cs="Times New Roman"/>
        </w:rPr>
        <w:t>claims</w:t>
      </w:r>
      <w:proofErr w:type="gramEnd"/>
      <w:r w:rsidRPr="00320ADF">
        <w:rPr>
          <w:rFonts w:ascii="Times New Roman" w:hAnsi="Times New Roman" w:cs="Times New Roman"/>
        </w:rPr>
        <w:t xml:space="preserve"> and generic statutes exist as a basis for such litigation.  CERCLA, in fact, was premised on the public trust doctrine</w:t>
      </w:r>
      <w:r w:rsidR="00D75B6C" w:rsidRPr="00320ADF">
        <w:rPr>
          <w:rFonts w:ascii="Times New Roman" w:hAnsi="Times New Roman" w:cs="Times New Roman"/>
        </w:rPr>
        <w:t xml:space="preserve">’s </w:t>
      </w:r>
      <w:r w:rsidRPr="00320ADF">
        <w:rPr>
          <w:rFonts w:ascii="Times New Roman" w:hAnsi="Times New Roman" w:cs="Times New Roman"/>
        </w:rPr>
        <w:t>fiduciary duty to seek damages from third parties to restore a polluted trust asset.</w:t>
      </w:r>
      <w:r w:rsidRPr="00320ADF">
        <w:rPr>
          <w:rStyle w:val="FootnoteReference"/>
          <w:rFonts w:ascii="Times New Roman" w:hAnsi="Times New Roman" w:cs="Times New Roman"/>
        </w:rPr>
        <w:footnoteReference w:id="54"/>
      </w:r>
      <w:r w:rsidRPr="00320ADF">
        <w:rPr>
          <w:rFonts w:ascii="Times New Roman" w:hAnsi="Times New Roman" w:cs="Times New Roman"/>
        </w:rPr>
        <w:t xml:space="preserve">  Commentators have long urged government trustees to assert claims premised on the public trust and/or nuisance law to seek natural resource damages either in concert with statutory claims or independent of such claims.</w:t>
      </w:r>
      <w:r w:rsidRPr="00320ADF">
        <w:rPr>
          <w:rStyle w:val="FootnoteReference"/>
          <w:rFonts w:ascii="Times New Roman" w:hAnsi="Times New Roman" w:cs="Times New Roman"/>
        </w:rPr>
        <w:footnoteReference w:id="55"/>
      </w:r>
      <w:r w:rsidRPr="00320ADF">
        <w:rPr>
          <w:rFonts w:ascii="Times New Roman" w:hAnsi="Times New Roman" w:cs="Times New Roman"/>
        </w:rPr>
        <w:t xml:space="preserve"> </w:t>
      </w:r>
      <w:r w:rsidR="00D75B6C" w:rsidRPr="00320ADF">
        <w:rPr>
          <w:rFonts w:ascii="Times New Roman" w:hAnsi="Times New Roman" w:cs="Times New Roman"/>
        </w:rPr>
        <w:t xml:space="preserve">  </w:t>
      </w:r>
    </w:p>
    <w:p w:rsidR="00B3013B" w:rsidRPr="00320ADF" w:rsidRDefault="00B3013B" w:rsidP="00C44798">
      <w:pPr>
        <w:autoSpaceDE w:val="0"/>
        <w:autoSpaceDN w:val="0"/>
        <w:adjustRightInd w:val="0"/>
        <w:spacing w:line="480" w:lineRule="auto"/>
        <w:ind w:firstLine="720"/>
        <w:jc w:val="both"/>
        <w:rPr>
          <w:rFonts w:ascii="Times New Roman" w:hAnsi="Times New Roman" w:cs="Times New Roman"/>
        </w:rPr>
      </w:pPr>
      <w:r w:rsidRPr="00320ADF">
        <w:rPr>
          <w:rFonts w:ascii="Times New Roman" w:hAnsi="Times New Roman" w:cs="Times New Roman"/>
        </w:rPr>
        <w:t xml:space="preserve">The discussion below illuminates </w:t>
      </w:r>
      <w:r w:rsidR="00C44798" w:rsidRPr="00320ADF">
        <w:rPr>
          <w:rFonts w:ascii="Times New Roman" w:hAnsi="Times New Roman" w:cs="Times New Roman"/>
        </w:rPr>
        <w:t>two</w:t>
      </w:r>
      <w:r w:rsidRPr="00320ADF">
        <w:rPr>
          <w:rFonts w:ascii="Times New Roman" w:hAnsi="Times New Roman" w:cs="Times New Roman"/>
        </w:rPr>
        <w:t xml:space="preserve"> possibilities.  The first is a stand-alone public trust claim.  The second is a public nuisance </w:t>
      </w:r>
      <w:r w:rsidR="005747C4">
        <w:rPr>
          <w:rFonts w:ascii="Times New Roman" w:hAnsi="Times New Roman" w:cs="Times New Roman"/>
        </w:rPr>
        <w:t xml:space="preserve">and/or trespass </w:t>
      </w:r>
      <w:r w:rsidRPr="00320ADF">
        <w:rPr>
          <w:rFonts w:ascii="Times New Roman" w:hAnsi="Times New Roman" w:cs="Times New Roman"/>
        </w:rPr>
        <w:t xml:space="preserve">claim seeking relief for interference with public trust property.  This common law claim might be accompanied by other tort claims relevant to the situation (such as negligence, defective product, and manufacturer’s failure to warn).  The three categories of relevant and analogous litigation highlighted above (the PCB, MTBE, and climate adaptation litigation) assert some or all of these common law claims in various cases.  </w:t>
      </w:r>
      <w:r w:rsidR="00C44798" w:rsidRPr="00320ADF">
        <w:rPr>
          <w:rFonts w:ascii="Times New Roman" w:hAnsi="Times New Roman" w:cs="Times New Roman"/>
        </w:rPr>
        <w:t xml:space="preserve">And of course, while not discussed below, sovereigns may have generic statutes or may pass climate-specific legislation allowing recovery of atmospheric NRDs.  </w:t>
      </w:r>
      <w:r w:rsidRPr="00320ADF">
        <w:rPr>
          <w:rFonts w:ascii="Times New Roman" w:hAnsi="Times New Roman" w:cs="Times New Roman"/>
        </w:rPr>
        <w:t xml:space="preserve"> </w:t>
      </w:r>
    </w:p>
    <w:p w:rsidR="00B3013B" w:rsidRPr="00320ADF" w:rsidRDefault="005F2650" w:rsidP="00B3013B">
      <w:pPr>
        <w:spacing w:line="480" w:lineRule="auto"/>
        <w:ind w:left="720" w:firstLine="720"/>
        <w:jc w:val="both"/>
        <w:rPr>
          <w:rFonts w:ascii="Times New Roman" w:hAnsi="Times New Roman" w:cs="Times New Roman"/>
          <w:b/>
          <w:bCs/>
        </w:rPr>
      </w:pPr>
      <w:r w:rsidRPr="00320ADF">
        <w:rPr>
          <w:rFonts w:ascii="Times New Roman" w:hAnsi="Times New Roman" w:cs="Times New Roman"/>
          <w:b/>
          <w:bCs/>
        </w:rPr>
        <w:lastRenderedPageBreak/>
        <w:t>1.</w:t>
      </w:r>
      <w:r w:rsidR="00B3013B" w:rsidRPr="00320ADF">
        <w:rPr>
          <w:rFonts w:ascii="Times New Roman" w:hAnsi="Times New Roman" w:cs="Times New Roman"/>
        </w:rPr>
        <w:tab/>
      </w:r>
      <w:r w:rsidR="00B3013B" w:rsidRPr="00320ADF">
        <w:rPr>
          <w:rFonts w:ascii="Times New Roman" w:hAnsi="Times New Roman" w:cs="Times New Roman"/>
          <w:b/>
          <w:bCs/>
        </w:rPr>
        <w:t xml:space="preserve">PUBLIC TRUST CLAIM </w:t>
      </w:r>
    </w:p>
    <w:p w:rsidR="00B3013B" w:rsidRPr="00320ADF" w:rsidRDefault="00B3013B" w:rsidP="00BE0758">
      <w:pPr>
        <w:spacing w:line="480" w:lineRule="auto"/>
        <w:ind w:firstLine="720"/>
        <w:jc w:val="both"/>
        <w:rPr>
          <w:rFonts w:ascii="Times New Roman" w:hAnsi="Times New Roman" w:cs="Times New Roman"/>
          <w:spacing w:val="-6"/>
          <w:w w:val="105"/>
        </w:rPr>
      </w:pPr>
      <w:r w:rsidRPr="00320ADF">
        <w:rPr>
          <w:rFonts w:ascii="Times New Roman" w:hAnsi="Times New Roman" w:cs="Times New Roman"/>
          <w:w w:val="110"/>
        </w:rPr>
        <w:t xml:space="preserve">A straightforward public trust claim </w:t>
      </w:r>
      <w:r w:rsidR="00BE0758" w:rsidRPr="00320ADF">
        <w:rPr>
          <w:rFonts w:ascii="Times New Roman" w:hAnsi="Times New Roman" w:cs="Times New Roman"/>
          <w:w w:val="110"/>
        </w:rPr>
        <w:t>should support</w:t>
      </w:r>
      <w:r w:rsidRPr="00320ADF">
        <w:rPr>
          <w:rFonts w:ascii="Times New Roman" w:hAnsi="Times New Roman" w:cs="Times New Roman"/>
          <w:w w:val="110"/>
        </w:rPr>
        <w:t xml:space="preserve"> </w:t>
      </w:r>
      <w:r w:rsidR="005747C4">
        <w:rPr>
          <w:rFonts w:ascii="Times New Roman" w:hAnsi="Times New Roman" w:cs="Times New Roman"/>
          <w:w w:val="110"/>
        </w:rPr>
        <w:t xml:space="preserve">recovery of </w:t>
      </w:r>
      <w:r w:rsidRPr="00320ADF">
        <w:rPr>
          <w:rFonts w:ascii="Times New Roman" w:hAnsi="Times New Roman" w:cs="Times New Roman"/>
          <w:w w:val="110"/>
        </w:rPr>
        <w:t>natural resource damag</w:t>
      </w:r>
      <w:r w:rsidR="004C6835">
        <w:rPr>
          <w:rFonts w:ascii="Times New Roman" w:hAnsi="Times New Roman" w:cs="Times New Roman"/>
          <w:w w:val="110"/>
        </w:rPr>
        <w:t>e</w:t>
      </w:r>
      <w:r w:rsidR="005747C4">
        <w:rPr>
          <w:rFonts w:ascii="Times New Roman" w:hAnsi="Times New Roman" w:cs="Times New Roman"/>
          <w:w w:val="110"/>
        </w:rPr>
        <w:t>s</w:t>
      </w:r>
      <w:r w:rsidRPr="00320ADF">
        <w:rPr>
          <w:rFonts w:ascii="Times New Roman" w:hAnsi="Times New Roman" w:cs="Times New Roman"/>
          <w:w w:val="110"/>
        </w:rPr>
        <w:t xml:space="preserve">.  Where third parties have </w:t>
      </w:r>
      <w:r w:rsidR="005747C4">
        <w:rPr>
          <w:rFonts w:ascii="Times New Roman" w:hAnsi="Times New Roman" w:cs="Times New Roman"/>
          <w:w w:val="110"/>
        </w:rPr>
        <w:t>harmed</w:t>
      </w:r>
      <w:r w:rsidR="005747C4" w:rsidRPr="00320ADF">
        <w:rPr>
          <w:rFonts w:ascii="Times New Roman" w:hAnsi="Times New Roman" w:cs="Times New Roman"/>
          <w:w w:val="110"/>
        </w:rPr>
        <w:t xml:space="preserve"> </w:t>
      </w:r>
      <w:r w:rsidRPr="00320ADF">
        <w:rPr>
          <w:rFonts w:ascii="Times New Roman" w:hAnsi="Times New Roman" w:cs="Times New Roman"/>
          <w:w w:val="110"/>
        </w:rPr>
        <w:t xml:space="preserve">trust assets, the trustee has the affirmative duty to recoup monetary damages </w:t>
      </w:r>
      <w:r w:rsidR="00BE0758" w:rsidRPr="00320ADF">
        <w:rPr>
          <w:rFonts w:ascii="Times New Roman" w:hAnsi="Times New Roman" w:cs="Times New Roman"/>
          <w:w w:val="110"/>
        </w:rPr>
        <w:t>to</w:t>
      </w:r>
      <w:r w:rsidRPr="00320ADF">
        <w:rPr>
          <w:rFonts w:ascii="Times New Roman" w:hAnsi="Times New Roman" w:cs="Times New Roman"/>
          <w:w w:val="110"/>
        </w:rPr>
        <w:t xml:space="preserve"> restore such assets.</w:t>
      </w:r>
      <w:r w:rsidRPr="00320ADF">
        <w:rPr>
          <w:rFonts w:ascii="Times New Roman" w:hAnsi="Times New Roman" w:cs="Times New Roman"/>
          <w:w w:val="110"/>
          <w:position w:val="10"/>
        </w:rPr>
        <w:t xml:space="preserve"> </w:t>
      </w:r>
      <w:r w:rsidRPr="00320ADF">
        <w:rPr>
          <w:rFonts w:ascii="Times New Roman" w:hAnsi="Times New Roman" w:cs="Times New Roman"/>
          <w:w w:val="110"/>
        </w:rPr>
        <w:t>The duty remains a classic obligation in the private sphere, and it is well</w:t>
      </w:r>
      <w:r w:rsidR="00460FDE" w:rsidRPr="00320ADF">
        <w:rPr>
          <w:rFonts w:ascii="Times New Roman" w:hAnsi="Times New Roman" w:cs="Times New Roman"/>
          <w:w w:val="110"/>
        </w:rPr>
        <w:t>-</w:t>
      </w:r>
      <w:r w:rsidRPr="00320ADF">
        <w:rPr>
          <w:rFonts w:ascii="Times New Roman" w:hAnsi="Times New Roman" w:cs="Times New Roman"/>
          <w:w w:val="110"/>
        </w:rPr>
        <w:t>established in the sovereign context as well.</w:t>
      </w:r>
      <w:r w:rsidRPr="00320ADF">
        <w:rPr>
          <w:rFonts w:ascii="Times New Roman" w:hAnsi="Times New Roman" w:cs="Times New Roman"/>
          <w:w w:val="110"/>
          <w:position w:val="10"/>
        </w:rPr>
        <w:t xml:space="preserve"> </w:t>
      </w:r>
      <w:r w:rsidR="00BE0758" w:rsidRPr="00320ADF">
        <w:rPr>
          <w:rFonts w:ascii="Times New Roman" w:hAnsi="Times New Roman" w:cs="Times New Roman"/>
          <w:w w:val="110"/>
          <w:position w:val="10"/>
        </w:rPr>
        <w:t xml:space="preserve"> </w:t>
      </w:r>
      <w:r w:rsidRPr="00320ADF">
        <w:rPr>
          <w:rFonts w:ascii="Times New Roman" w:hAnsi="Times New Roman" w:cs="Times New Roman"/>
          <w:w w:val="110"/>
        </w:rPr>
        <w:t xml:space="preserve">In an extensive article on the subject, Allen </w:t>
      </w:r>
      <w:proofErr w:type="spellStart"/>
      <w:r w:rsidRPr="00320ADF">
        <w:rPr>
          <w:rFonts w:ascii="Times New Roman" w:hAnsi="Times New Roman" w:cs="Times New Roman"/>
          <w:w w:val="110"/>
        </w:rPr>
        <w:t>Kanner</w:t>
      </w:r>
      <w:proofErr w:type="spellEnd"/>
      <w:r w:rsidRPr="00320ADF">
        <w:rPr>
          <w:rFonts w:ascii="Times New Roman" w:hAnsi="Times New Roman" w:cs="Times New Roman"/>
          <w:w w:val="110"/>
        </w:rPr>
        <w:t xml:space="preserve"> asserts: “</w:t>
      </w:r>
      <w:r w:rsidR="00460FDE" w:rsidRPr="00320ADF">
        <w:rPr>
          <w:rFonts w:ascii="Times New Roman" w:hAnsi="Times New Roman" w:cs="Times New Roman"/>
          <w:w w:val="110"/>
        </w:rPr>
        <w:t>[U]</w:t>
      </w:r>
      <w:proofErr w:type="spellStart"/>
      <w:r w:rsidRPr="00320ADF">
        <w:rPr>
          <w:rFonts w:ascii="Times New Roman" w:hAnsi="Times New Roman" w:cs="Times New Roman"/>
          <w:w w:val="110"/>
        </w:rPr>
        <w:t>nder</w:t>
      </w:r>
      <w:proofErr w:type="spellEnd"/>
      <w:r w:rsidRPr="00320ADF">
        <w:rPr>
          <w:rFonts w:ascii="Times New Roman" w:hAnsi="Times New Roman" w:cs="Times New Roman"/>
          <w:w w:val="110"/>
        </w:rPr>
        <w:t xml:space="preserve"> the public trust doctrine, a state AG [attorney general] can sue, as trustee, for damages to natural resources that are held in the public trust.”</w:t>
      </w:r>
      <w:r w:rsidRPr="00320ADF">
        <w:rPr>
          <w:rStyle w:val="FootnoteReference"/>
          <w:rFonts w:ascii="Times New Roman" w:hAnsi="Times New Roman" w:cs="Times New Roman"/>
          <w:w w:val="110"/>
        </w:rPr>
        <w:footnoteReference w:id="56"/>
      </w:r>
      <w:r w:rsidRPr="00320ADF">
        <w:rPr>
          <w:rFonts w:ascii="Times New Roman" w:hAnsi="Times New Roman" w:cs="Times New Roman"/>
          <w:w w:val="110"/>
        </w:rPr>
        <w:t xml:space="preserve">  </w:t>
      </w:r>
      <w:r w:rsidRPr="00320ADF">
        <w:rPr>
          <w:rFonts w:ascii="Times New Roman" w:hAnsi="Times New Roman" w:cs="Times New Roman"/>
        </w:rPr>
        <w:t>In his leading treatise on environmental law, Professor William Rodgers explains that the public trust “can be invoked offensively by the government as in a suit to collect damages to trust property.”</w:t>
      </w:r>
      <w:r w:rsidRPr="00320ADF">
        <w:rPr>
          <w:rStyle w:val="FootnoteReference"/>
          <w:rFonts w:ascii="Times New Roman" w:hAnsi="Times New Roman" w:cs="Times New Roman"/>
        </w:rPr>
        <w:footnoteReference w:id="57"/>
      </w:r>
      <w:r w:rsidRPr="00320ADF">
        <w:rPr>
          <w:rFonts w:ascii="Times New Roman" w:hAnsi="Times New Roman" w:cs="Times New Roman"/>
        </w:rPr>
        <w:t xml:space="preserve">  Another commentator observes that case law “clearly affirm[s] that a state, as trustee for certain natural resources, has the power to recover damages for injuries to these natural resources” and that the public trust doctrine “supplies the state with a cause of action in natural resource damage cases.”</w:t>
      </w:r>
      <w:r w:rsidRPr="00320ADF">
        <w:rPr>
          <w:rStyle w:val="FootnoteReference"/>
          <w:rFonts w:ascii="Times New Roman" w:hAnsi="Times New Roman" w:cs="Times New Roman"/>
        </w:rPr>
        <w:footnoteReference w:id="58"/>
      </w:r>
      <w:r w:rsidRPr="00320ADF">
        <w:rPr>
          <w:rFonts w:ascii="Times New Roman" w:hAnsi="Times New Roman" w:cs="Times New Roman"/>
        </w:rPr>
        <w:t xml:space="preserve">  </w:t>
      </w:r>
      <w:r w:rsidR="005747C4">
        <w:rPr>
          <w:rFonts w:ascii="Times New Roman" w:hAnsi="Times New Roman" w:cs="Times New Roman"/>
        </w:rPr>
        <w:t>The</w:t>
      </w:r>
      <w:r w:rsidR="00EC2DEF" w:rsidRPr="00320ADF">
        <w:rPr>
          <w:rFonts w:ascii="Times New Roman" w:hAnsi="Times New Roman" w:cs="Times New Roman"/>
        </w:rPr>
        <w:t xml:space="preserve"> public trust</w:t>
      </w:r>
      <w:r w:rsidR="005747C4">
        <w:rPr>
          <w:rFonts w:ascii="Times New Roman" w:hAnsi="Times New Roman" w:cs="Times New Roman"/>
        </w:rPr>
        <w:t>, where recognized,</w:t>
      </w:r>
      <w:r w:rsidR="00EC2DEF" w:rsidRPr="00320ADF">
        <w:rPr>
          <w:rFonts w:ascii="Times New Roman" w:hAnsi="Times New Roman" w:cs="Times New Roman"/>
        </w:rPr>
        <w:t xml:space="preserve"> </w:t>
      </w:r>
      <w:r w:rsidRPr="00320ADF">
        <w:rPr>
          <w:rFonts w:ascii="Times New Roman" w:hAnsi="Times New Roman" w:cs="Times New Roman"/>
        </w:rPr>
        <w:t xml:space="preserve">may provide a </w:t>
      </w:r>
      <w:r w:rsidR="00BE0758" w:rsidRPr="00320ADF">
        <w:rPr>
          <w:rFonts w:ascii="Times New Roman" w:hAnsi="Times New Roman" w:cs="Times New Roman"/>
        </w:rPr>
        <w:t>basis for</w:t>
      </w:r>
      <w:r w:rsidRPr="00320ADF">
        <w:rPr>
          <w:rFonts w:ascii="Times New Roman" w:hAnsi="Times New Roman" w:cs="Times New Roman"/>
        </w:rPr>
        <w:t xml:space="preserve"> atmospheric NRD</w:t>
      </w:r>
      <w:r w:rsidR="009E44E8" w:rsidRPr="00320ADF">
        <w:rPr>
          <w:rFonts w:ascii="Times New Roman" w:hAnsi="Times New Roman" w:cs="Times New Roman"/>
        </w:rPr>
        <w:t xml:space="preserve"> actions</w:t>
      </w:r>
      <w:r w:rsidR="00BE0758" w:rsidRPr="00320ADF">
        <w:rPr>
          <w:rFonts w:ascii="Times New Roman" w:hAnsi="Times New Roman" w:cs="Times New Roman"/>
        </w:rPr>
        <w:t xml:space="preserve"> outside of the U.S.</w:t>
      </w:r>
      <w:r w:rsidR="005747C4">
        <w:rPr>
          <w:rFonts w:ascii="Times New Roman" w:hAnsi="Times New Roman" w:cs="Times New Roman"/>
        </w:rPr>
        <w:t xml:space="preserve"> as well.</w:t>
      </w:r>
      <w:r w:rsidRPr="00320ADF">
        <w:rPr>
          <w:rFonts w:ascii="Times New Roman" w:hAnsi="Times New Roman" w:cs="Times New Roman"/>
          <w:spacing w:val="-6"/>
          <w:w w:val="105"/>
        </w:rPr>
        <w:t xml:space="preserve">  </w:t>
      </w:r>
    </w:p>
    <w:p w:rsidR="00463B6B" w:rsidRPr="00320ADF" w:rsidRDefault="00BA10DA" w:rsidP="00B3013B">
      <w:pPr>
        <w:spacing w:line="480" w:lineRule="auto"/>
        <w:ind w:firstLine="720"/>
        <w:jc w:val="both"/>
        <w:rPr>
          <w:rFonts w:ascii="Times New Roman" w:hAnsi="Times New Roman" w:cs="Times New Roman"/>
          <w:spacing w:val="-6"/>
          <w:w w:val="105"/>
        </w:rPr>
      </w:pPr>
      <w:r w:rsidRPr="00320ADF">
        <w:rPr>
          <w:rFonts w:ascii="Times New Roman" w:hAnsi="Times New Roman" w:cs="Times New Roman"/>
          <w:w w:val="110"/>
        </w:rPr>
        <w:t>American c</w:t>
      </w:r>
      <w:r w:rsidR="00EC2DEF" w:rsidRPr="00320ADF">
        <w:rPr>
          <w:rFonts w:ascii="Times New Roman" w:hAnsi="Times New Roman" w:cs="Times New Roman"/>
          <w:w w:val="110"/>
        </w:rPr>
        <w:t xml:space="preserve">ourts have </w:t>
      </w:r>
      <w:r w:rsidR="005747C4">
        <w:rPr>
          <w:rFonts w:ascii="Times New Roman" w:hAnsi="Times New Roman" w:cs="Times New Roman"/>
          <w:w w:val="110"/>
        </w:rPr>
        <w:t>established</w:t>
      </w:r>
      <w:r w:rsidR="005747C4" w:rsidRPr="00320ADF">
        <w:rPr>
          <w:rFonts w:ascii="Times New Roman" w:hAnsi="Times New Roman" w:cs="Times New Roman"/>
          <w:w w:val="110"/>
        </w:rPr>
        <w:t xml:space="preserve"> </w:t>
      </w:r>
      <w:r w:rsidR="00EC2DEF" w:rsidRPr="00320ADF">
        <w:rPr>
          <w:rFonts w:ascii="Times New Roman" w:hAnsi="Times New Roman" w:cs="Times New Roman"/>
          <w:w w:val="110"/>
        </w:rPr>
        <w:t>the</w:t>
      </w:r>
      <w:r w:rsidR="00B3013B" w:rsidRPr="00320ADF">
        <w:rPr>
          <w:rFonts w:ascii="Times New Roman" w:hAnsi="Times New Roman" w:cs="Times New Roman"/>
          <w:w w:val="110"/>
        </w:rPr>
        <w:t xml:space="preserve"> authority to recover NRDs as a matter of both state and </w:t>
      </w:r>
      <w:r w:rsidR="00B3013B" w:rsidRPr="00320ADF">
        <w:rPr>
          <w:rFonts w:ascii="Times New Roman" w:hAnsi="Times New Roman" w:cs="Times New Roman"/>
          <w:spacing w:val="-1"/>
          <w:w w:val="111"/>
        </w:rPr>
        <w:t>fede</w:t>
      </w:r>
      <w:r w:rsidR="00B3013B" w:rsidRPr="00320ADF">
        <w:rPr>
          <w:rFonts w:ascii="Times New Roman" w:hAnsi="Times New Roman" w:cs="Times New Roman"/>
          <w:spacing w:val="-2"/>
          <w:w w:val="111"/>
        </w:rPr>
        <w:t>r</w:t>
      </w:r>
      <w:r w:rsidR="00B3013B" w:rsidRPr="00320ADF">
        <w:rPr>
          <w:rFonts w:ascii="Times New Roman" w:hAnsi="Times New Roman" w:cs="Times New Roman"/>
          <w:w w:val="112"/>
        </w:rPr>
        <w:t>a</w:t>
      </w:r>
      <w:r w:rsidR="00B3013B" w:rsidRPr="00320ADF">
        <w:rPr>
          <w:rFonts w:ascii="Times New Roman" w:hAnsi="Times New Roman" w:cs="Times New Roman"/>
        </w:rPr>
        <w:t>l</w:t>
      </w:r>
      <w:r w:rsidR="00004272">
        <w:rPr>
          <w:rFonts w:ascii="Times New Roman" w:hAnsi="Times New Roman" w:cs="Times New Roman"/>
          <w:spacing w:val="-15"/>
        </w:rPr>
        <w:t xml:space="preserve"> </w:t>
      </w:r>
      <w:r w:rsidR="00B3013B" w:rsidRPr="00320ADF">
        <w:rPr>
          <w:rFonts w:ascii="Times New Roman" w:hAnsi="Times New Roman" w:cs="Times New Roman"/>
          <w:spacing w:val="-1"/>
          <w:w w:val="109"/>
        </w:rPr>
        <w:t>co</w:t>
      </w:r>
      <w:r w:rsidR="00B3013B" w:rsidRPr="00320ADF">
        <w:rPr>
          <w:rFonts w:ascii="Times New Roman" w:hAnsi="Times New Roman" w:cs="Times New Roman"/>
          <w:spacing w:val="-2"/>
          <w:w w:val="109"/>
        </w:rPr>
        <w:t>m</w:t>
      </w:r>
      <w:r w:rsidR="00B3013B" w:rsidRPr="00320ADF">
        <w:rPr>
          <w:rFonts w:ascii="Times New Roman" w:hAnsi="Times New Roman" w:cs="Times New Roman"/>
          <w:spacing w:val="-1"/>
          <w:w w:val="107"/>
        </w:rPr>
        <w:t>m</w:t>
      </w:r>
      <w:r w:rsidR="00B3013B" w:rsidRPr="00320ADF">
        <w:rPr>
          <w:rFonts w:ascii="Times New Roman" w:hAnsi="Times New Roman" w:cs="Times New Roman"/>
          <w:spacing w:val="-1"/>
          <w:w w:val="111"/>
        </w:rPr>
        <w:t>o</w:t>
      </w:r>
      <w:r w:rsidR="00B3013B" w:rsidRPr="00320ADF">
        <w:rPr>
          <w:rFonts w:ascii="Times New Roman" w:hAnsi="Times New Roman" w:cs="Times New Roman"/>
          <w:w w:val="111"/>
        </w:rPr>
        <w:t>n</w:t>
      </w:r>
      <w:r w:rsidR="00B3013B" w:rsidRPr="00320ADF">
        <w:rPr>
          <w:rFonts w:ascii="Times New Roman" w:hAnsi="Times New Roman" w:cs="Times New Roman"/>
        </w:rPr>
        <w:t xml:space="preserve"> </w:t>
      </w:r>
      <w:r w:rsidR="00B3013B" w:rsidRPr="00320ADF">
        <w:rPr>
          <w:rFonts w:ascii="Times New Roman" w:hAnsi="Times New Roman" w:cs="Times New Roman"/>
          <w:spacing w:val="-15"/>
        </w:rPr>
        <w:t xml:space="preserve"> </w:t>
      </w:r>
      <w:r w:rsidR="00B3013B" w:rsidRPr="00320ADF">
        <w:rPr>
          <w:rFonts w:ascii="Times New Roman" w:hAnsi="Times New Roman" w:cs="Times New Roman"/>
          <w:spacing w:val="-1"/>
          <w:w w:val="107"/>
        </w:rPr>
        <w:t>la</w:t>
      </w:r>
      <w:r w:rsidR="00B3013B" w:rsidRPr="00320ADF">
        <w:rPr>
          <w:rFonts w:ascii="Times New Roman" w:hAnsi="Times New Roman" w:cs="Times New Roman"/>
          <w:spacing w:val="-2"/>
          <w:w w:val="107"/>
        </w:rPr>
        <w:t>w</w:t>
      </w:r>
      <w:r w:rsidR="00B3013B" w:rsidRPr="00320ADF">
        <w:rPr>
          <w:rFonts w:ascii="Times New Roman" w:hAnsi="Times New Roman" w:cs="Times New Roman"/>
          <w:spacing w:val="-1"/>
        </w:rPr>
        <w:t>.</w:t>
      </w:r>
      <w:r w:rsidR="00362437">
        <w:rPr>
          <w:rStyle w:val="FootnoteReference"/>
          <w:rFonts w:ascii="Times New Roman" w:hAnsi="Times New Roman" w:cs="Times New Roman"/>
          <w:spacing w:val="-1"/>
        </w:rPr>
        <w:footnoteReference w:id="59"/>
      </w:r>
      <w:r w:rsidR="00B3013B" w:rsidRPr="00320ADF">
        <w:rPr>
          <w:rFonts w:ascii="Times New Roman" w:hAnsi="Times New Roman" w:cs="Times New Roman"/>
          <w:position w:val="10"/>
        </w:rPr>
        <w:t xml:space="preserve"> </w:t>
      </w:r>
      <w:r w:rsidR="00B3013B" w:rsidRPr="00320ADF">
        <w:rPr>
          <w:rFonts w:ascii="Times New Roman" w:hAnsi="Times New Roman" w:cs="Times New Roman"/>
          <w:spacing w:val="10"/>
          <w:position w:val="10"/>
        </w:rPr>
        <w:t xml:space="preserve"> </w:t>
      </w:r>
      <w:r w:rsidR="00B3013B" w:rsidRPr="00320ADF">
        <w:rPr>
          <w:rFonts w:ascii="Times New Roman" w:hAnsi="Times New Roman" w:cs="Times New Roman"/>
          <w:w w:val="106"/>
        </w:rPr>
        <w:t>In</w:t>
      </w:r>
      <w:r w:rsidR="00B3013B" w:rsidRPr="00320ADF">
        <w:rPr>
          <w:rFonts w:ascii="Times New Roman" w:hAnsi="Times New Roman" w:cs="Times New Roman"/>
        </w:rPr>
        <w:t xml:space="preserve"> </w:t>
      </w:r>
      <w:r w:rsidR="00B3013B" w:rsidRPr="00320ADF">
        <w:rPr>
          <w:rFonts w:ascii="Times New Roman" w:hAnsi="Times New Roman" w:cs="Times New Roman"/>
          <w:spacing w:val="-16"/>
        </w:rPr>
        <w:t xml:space="preserve"> </w:t>
      </w:r>
      <w:r w:rsidR="00B3013B" w:rsidRPr="00320ADF">
        <w:rPr>
          <w:rFonts w:ascii="Times New Roman" w:hAnsi="Times New Roman" w:cs="Times New Roman"/>
          <w:i/>
          <w:w w:val="109"/>
        </w:rPr>
        <w:t>S</w:t>
      </w:r>
      <w:r w:rsidR="00B3013B" w:rsidRPr="00320ADF">
        <w:rPr>
          <w:rFonts w:ascii="Times New Roman" w:hAnsi="Times New Roman" w:cs="Times New Roman"/>
          <w:i/>
          <w:spacing w:val="-1"/>
          <w:w w:val="109"/>
        </w:rPr>
        <w:t>t</w:t>
      </w:r>
      <w:r w:rsidR="00B3013B" w:rsidRPr="00320ADF">
        <w:rPr>
          <w:rFonts w:ascii="Times New Roman" w:hAnsi="Times New Roman" w:cs="Times New Roman"/>
          <w:i/>
          <w:w w:val="102"/>
        </w:rPr>
        <w:t>a</w:t>
      </w:r>
      <w:r w:rsidR="00B3013B" w:rsidRPr="00320ADF">
        <w:rPr>
          <w:rFonts w:ascii="Times New Roman" w:hAnsi="Times New Roman" w:cs="Times New Roman"/>
          <w:i/>
          <w:spacing w:val="-1"/>
          <w:w w:val="102"/>
        </w:rPr>
        <w:t>t</w:t>
      </w:r>
      <w:r w:rsidR="00B3013B" w:rsidRPr="00320ADF">
        <w:rPr>
          <w:rFonts w:ascii="Times New Roman" w:hAnsi="Times New Roman" w:cs="Times New Roman"/>
          <w:i/>
          <w:w w:val="107"/>
        </w:rPr>
        <w:t>e</w:t>
      </w:r>
      <w:r w:rsidR="00B3013B" w:rsidRPr="00320ADF">
        <w:rPr>
          <w:rFonts w:ascii="Times New Roman" w:hAnsi="Times New Roman" w:cs="Times New Roman"/>
          <w:i/>
        </w:rPr>
        <w:t xml:space="preserve"> </w:t>
      </w:r>
      <w:r w:rsidR="00B3013B" w:rsidRPr="00320ADF">
        <w:rPr>
          <w:rFonts w:ascii="Times New Roman" w:hAnsi="Times New Roman" w:cs="Times New Roman"/>
          <w:i/>
          <w:spacing w:val="-20"/>
        </w:rPr>
        <w:t xml:space="preserve"> </w:t>
      </w:r>
      <w:r w:rsidR="00B3013B" w:rsidRPr="00320ADF">
        <w:rPr>
          <w:rFonts w:ascii="Times New Roman" w:hAnsi="Times New Roman" w:cs="Times New Roman"/>
          <w:i/>
          <w:spacing w:val="-1"/>
          <w:w w:val="107"/>
        </w:rPr>
        <w:t>v</w:t>
      </w:r>
      <w:r w:rsidR="00B3013B" w:rsidRPr="00320ADF">
        <w:rPr>
          <w:rFonts w:ascii="Times New Roman" w:hAnsi="Times New Roman" w:cs="Times New Roman"/>
          <w:i/>
          <w:w w:val="95"/>
        </w:rPr>
        <w:t>.</w:t>
      </w:r>
      <w:r w:rsidR="00B3013B" w:rsidRPr="00320ADF">
        <w:rPr>
          <w:rFonts w:ascii="Times New Roman" w:hAnsi="Times New Roman" w:cs="Times New Roman"/>
          <w:i/>
        </w:rPr>
        <w:t xml:space="preserve"> </w:t>
      </w:r>
      <w:r w:rsidR="00B3013B" w:rsidRPr="00320ADF">
        <w:rPr>
          <w:rFonts w:ascii="Times New Roman" w:hAnsi="Times New Roman" w:cs="Times New Roman"/>
          <w:i/>
          <w:spacing w:val="-20"/>
        </w:rPr>
        <w:t xml:space="preserve"> </w:t>
      </w:r>
      <w:r w:rsidR="00B3013B" w:rsidRPr="00320ADF">
        <w:rPr>
          <w:rFonts w:ascii="Times New Roman" w:hAnsi="Times New Roman" w:cs="Times New Roman"/>
          <w:i/>
          <w:w w:val="95"/>
        </w:rPr>
        <w:t>G</w:t>
      </w:r>
      <w:r w:rsidR="00B3013B" w:rsidRPr="00320ADF">
        <w:rPr>
          <w:rFonts w:ascii="Times New Roman" w:hAnsi="Times New Roman" w:cs="Times New Roman"/>
          <w:i/>
          <w:spacing w:val="-1"/>
          <w:w w:val="95"/>
        </w:rPr>
        <w:t>ill</w:t>
      </w:r>
      <w:r w:rsidR="00B3013B" w:rsidRPr="00320ADF">
        <w:rPr>
          <w:rFonts w:ascii="Times New Roman" w:hAnsi="Times New Roman" w:cs="Times New Roman"/>
          <w:i/>
          <w:spacing w:val="-1"/>
          <w:w w:val="107"/>
        </w:rPr>
        <w:t>e</w:t>
      </w:r>
      <w:r w:rsidR="00B3013B" w:rsidRPr="00320ADF">
        <w:rPr>
          <w:rFonts w:ascii="Times New Roman" w:hAnsi="Times New Roman" w:cs="Times New Roman"/>
          <w:i/>
          <w:w w:val="114"/>
        </w:rPr>
        <w:t>t</w:t>
      </w:r>
      <w:r w:rsidR="00B3013B" w:rsidRPr="00320ADF">
        <w:rPr>
          <w:rFonts w:ascii="Times New Roman" w:hAnsi="Times New Roman" w:cs="Times New Roman"/>
          <w:i/>
          <w:spacing w:val="-1"/>
          <w:w w:val="114"/>
        </w:rPr>
        <w:t>t</w:t>
      </w:r>
      <w:r w:rsidR="00B3013B" w:rsidRPr="00320ADF">
        <w:rPr>
          <w:rFonts w:ascii="Times New Roman" w:hAnsi="Times New Roman" w:cs="Times New Roman"/>
          <w:i/>
          <w:w w:val="107"/>
        </w:rPr>
        <w:t>e</w:t>
      </w:r>
      <w:r w:rsidR="00B3013B" w:rsidRPr="00320ADF">
        <w:rPr>
          <w:rFonts w:ascii="Times New Roman" w:hAnsi="Times New Roman" w:cs="Times New Roman"/>
          <w:spacing w:val="-1"/>
        </w:rPr>
        <w:t>,</w:t>
      </w:r>
      <w:r w:rsidR="00B3013B" w:rsidRPr="00320ADF">
        <w:rPr>
          <w:rFonts w:ascii="Times New Roman" w:hAnsi="Times New Roman" w:cs="Times New Roman"/>
          <w:position w:val="10"/>
        </w:rPr>
        <w:t xml:space="preserve"> </w:t>
      </w:r>
      <w:r w:rsidR="00B3013B" w:rsidRPr="00320ADF">
        <w:rPr>
          <w:rFonts w:ascii="Times New Roman" w:hAnsi="Times New Roman" w:cs="Times New Roman"/>
          <w:spacing w:val="10"/>
          <w:position w:val="10"/>
        </w:rPr>
        <w:t xml:space="preserve"> </w:t>
      </w:r>
      <w:r w:rsidR="00B3013B" w:rsidRPr="00320ADF">
        <w:rPr>
          <w:rFonts w:ascii="Times New Roman" w:hAnsi="Times New Roman" w:cs="Times New Roman"/>
          <w:spacing w:val="-1"/>
          <w:w w:val="120"/>
        </w:rPr>
        <w:t>t</w:t>
      </w:r>
      <w:r w:rsidR="00B3013B" w:rsidRPr="00320ADF">
        <w:rPr>
          <w:rFonts w:ascii="Times New Roman" w:hAnsi="Times New Roman" w:cs="Times New Roman"/>
          <w:w w:val="111"/>
        </w:rPr>
        <w:t>h</w:t>
      </w:r>
      <w:r w:rsidR="00B3013B" w:rsidRPr="00320ADF">
        <w:rPr>
          <w:rFonts w:ascii="Times New Roman" w:hAnsi="Times New Roman" w:cs="Times New Roman"/>
          <w:w w:val="112"/>
        </w:rPr>
        <w:t>e</w:t>
      </w:r>
      <w:r w:rsidR="00B3013B" w:rsidRPr="00320ADF">
        <w:rPr>
          <w:rFonts w:ascii="Times New Roman" w:hAnsi="Times New Roman" w:cs="Times New Roman"/>
        </w:rPr>
        <w:t xml:space="preserve"> </w:t>
      </w:r>
      <w:r w:rsidR="00B3013B" w:rsidRPr="00320ADF">
        <w:rPr>
          <w:rFonts w:ascii="Times New Roman" w:hAnsi="Times New Roman" w:cs="Times New Roman"/>
          <w:spacing w:val="-15"/>
        </w:rPr>
        <w:t xml:space="preserve"> </w:t>
      </w:r>
      <w:r w:rsidR="00B3013B" w:rsidRPr="00320ADF">
        <w:rPr>
          <w:rFonts w:ascii="Times New Roman" w:hAnsi="Times New Roman" w:cs="Times New Roman"/>
          <w:spacing w:val="-2"/>
          <w:w w:val="94"/>
        </w:rPr>
        <w:t>W</w:t>
      </w:r>
      <w:r w:rsidR="00B3013B" w:rsidRPr="00320ADF">
        <w:rPr>
          <w:rFonts w:ascii="Times New Roman" w:hAnsi="Times New Roman" w:cs="Times New Roman"/>
          <w:w w:val="112"/>
        </w:rPr>
        <w:t>a</w:t>
      </w:r>
      <w:r w:rsidR="00B3013B" w:rsidRPr="00320ADF">
        <w:rPr>
          <w:rFonts w:ascii="Times New Roman" w:hAnsi="Times New Roman" w:cs="Times New Roman"/>
          <w:spacing w:val="-2"/>
          <w:w w:val="114"/>
        </w:rPr>
        <w:t>s</w:t>
      </w:r>
      <w:r w:rsidR="00B3013B" w:rsidRPr="00320ADF">
        <w:rPr>
          <w:rFonts w:ascii="Times New Roman" w:hAnsi="Times New Roman" w:cs="Times New Roman"/>
          <w:w w:val="111"/>
        </w:rPr>
        <w:t>h</w:t>
      </w:r>
      <w:r w:rsidR="00B3013B" w:rsidRPr="00320ADF">
        <w:rPr>
          <w:rFonts w:ascii="Times New Roman" w:hAnsi="Times New Roman" w:cs="Times New Roman"/>
          <w:spacing w:val="-1"/>
        </w:rPr>
        <w:t>i</w:t>
      </w:r>
      <w:r w:rsidR="00B3013B" w:rsidRPr="00320ADF">
        <w:rPr>
          <w:rFonts w:ascii="Times New Roman" w:hAnsi="Times New Roman" w:cs="Times New Roman"/>
          <w:w w:val="111"/>
        </w:rPr>
        <w:t>n</w:t>
      </w:r>
      <w:r w:rsidR="00B3013B" w:rsidRPr="00320ADF">
        <w:rPr>
          <w:rFonts w:ascii="Times New Roman" w:hAnsi="Times New Roman" w:cs="Times New Roman"/>
          <w:spacing w:val="-1"/>
        </w:rPr>
        <w:t>g</w:t>
      </w:r>
      <w:r w:rsidR="00B3013B" w:rsidRPr="00320ADF">
        <w:rPr>
          <w:rFonts w:ascii="Times New Roman" w:hAnsi="Times New Roman" w:cs="Times New Roman"/>
          <w:w w:val="120"/>
        </w:rPr>
        <w:t>t</w:t>
      </w:r>
      <w:r w:rsidR="00B3013B" w:rsidRPr="00320ADF">
        <w:rPr>
          <w:rFonts w:ascii="Times New Roman" w:hAnsi="Times New Roman" w:cs="Times New Roman"/>
          <w:spacing w:val="-2"/>
          <w:w w:val="111"/>
        </w:rPr>
        <w:t>o</w:t>
      </w:r>
      <w:r w:rsidR="00B3013B" w:rsidRPr="00320ADF">
        <w:rPr>
          <w:rFonts w:ascii="Times New Roman" w:hAnsi="Times New Roman" w:cs="Times New Roman"/>
          <w:w w:val="111"/>
        </w:rPr>
        <w:t xml:space="preserve">n </w:t>
      </w:r>
      <w:r w:rsidR="00B3013B" w:rsidRPr="00320ADF">
        <w:rPr>
          <w:rFonts w:ascii="Times New Roman" w:hAnsi="Times New Roman" w:cs="Times New Roman"/>
          <w:w w:val="110"/>
        </w:rPr>
        <w:t>Court of Appeals ruled</w:t>
      </w:r>
      <w:r w:rsidR="00B3013B" w:rsidRPr="00320ADF">
        <w:rPr>
          <w:rFonts w:ascii="Times New Roman" w:hAnsi="Times New Roman" w:cs="Times New Roman"/>
          <w:spacing w:val="-6"/>
          <w:w w:val="110"/>
        </w:rPr>
        <w:t xml:space="preserve"> </w:t>
      </w:r>
      <w:r w:rsidR="00B3013B" w:rsidRPr="00320ADF">
        <w:rPr>
          <w:rFonts w:ascii="Times New Roman" w:hAnsi="Times New Roman" w:cs="Times New Roman"/>
          <w:w w:val="110"/>
        </w:rPr>
        <w:t>that the State Department of Fisheries was entitled to recover NRDs for loss of fisheries habitat even absent a statutory provision allowing recovery, explaining,</w:t>
      </w:r>
      <w:r w:rsidR="00B3013B" w:rsidRPr="00320ADF">
        <w:rPr>
          <w:rFonts w:ascii="Times New Roman" w:hAnsi="Times New Roman" w:cs="Times New Roman"/>
          <w:spacing w:val="-7"/>
          <w:w w:val="110"/>
        </w:rPr>
        <w:t xml:space="preserve"> </w:t>
      </w:r>
      <w:r w:rsidR="00B3013B" w:rsidRPr="00320ADF">
        <w:rPr>
          <w:rFonts w:ascii="Times New Roman" w:hAnsi="Times New Roman" w:cs="Times New Roman"/>
          <w:w w:val="110"/>
        </w:rPr>
        <w:t>“[T]he</w:t>
      </w:r>
      <w:r w:rsidR="00B3013B" w:rsidRPr="00320ADF">
        <w:rPr>
          <w:rFonts w:ascii="Times New Roman" w:hAnsi="Times New Roman" w:cs="Times New Roman"/>
          <w:spacing w:val="-6"/>
          <w:w w:val="110"/>
        </w:rPr>
        <w:t xml:space="preserve"> </w:t>
      </w:r>
      <w:r w:rsidR="00B3013B" w:rsidRPr="00320ADF">
        <w:rPr>
          <w:rFonts w:ascii="Times New Roman" w:hAnsi="Times New Roman" w:cs="Times New Roman"/>
          <w:w w:val="110"/>
        </w:rPr>
        <w:t>state,</w:t>
      </w:r>
      <w:r w:rsidR="00B3013B" w:rsidRPr="00320ADF">
        <w:rPr>
          <w:rFonts w:ascii="Times New Roman" w:hAnsi="Times New Roman" w:cs="Times New Roman"/>
          <w:spacing w:val="-6"/>
          <w:w w:val="110"/>
        </w:rPr>
        <w:t xml:space="preserve"> </w:t>
      </w:r>
      <w:r w:rsidR="00B3013B" w:rsidRPr="00320ADF">
        <w:rPr>
          <w:rFonts w:ascii="Times New Roman" w:hAnsi="Times New Roman" w:cs="Times New Roman"/>
          <w:w w:val="110"/>
        </w:rPr>
        <w:t>through</w:t>
      </w:r>
      <w:r w:rsidR="00B3013B" w:rsidRPr="00320ADF">
        <w:rPr>
          <w:rFonts w:ascii="Times New Roman" w:hAnsi="Times New Roman" w:cs="Times New Roman"/>
          <w:spacing w:val="-7"/>
          <w:w w:val="110"/>
        </w:rPr>
        <w:t xml:space="preserve"> </w:t>
      </w:r>
      <w:r w:rsidR="00B3013B" w:rsidRPr="00320ADF">
        <w:rPr>
          <w:rFonts w:ascii="Times New Roman" w:hAnsi="Times New Roman" w:cs="Times New Roman"/>
          <w:w w:val="110"/>
        </w:rPr>
        <w:t>the</w:t>
      </w:r>
      <w:r w:rsidR="00B3013B" w:rsidRPr="00320ADF">
        <w:rPr>
          <w:rFonts w:ascii="Times New Roman" w:hAnsi="Times New Roman" w:cs="Times New Roman"/>
          <w:spacing w:val="-7"/>
          <w:w w:val="110"/>
        </w:rPr>
        <w:t xml:space="preserve"> </w:t>
      </w:r>
      <w:r w:rsidR="00B3013B" w:rsidRPr="00320ADF">
        <w:rPr>
          <w:rFonts w:ascii="Times New Roman" w:hAnsi="Times New Roman" w:cs="Times New Roman"/>
          <w:w w:val="110"/>
        </w:rPr>
        <w:t>Department,</w:t>
      </w:r>
      <w:r w:rsidR="00B3013B" w:rsidRPr="00320ADF">
        <w:rPr>
          <w:rFonts w:ascii="Times New Roman" w:hAnsi="Times New Roman" w:cs="Times New Roman"/>
          <w:spacing w:val="-5"/>
          <w:w w:val="110"/>
        </w:rPr>
        <w:t xml:space="preserve"> </w:t>
      </w:r>
      <w:r w:rsidR="00B3013B" w:rsidRPr="00320ADF">
        <w:rPr>
          <w:rFonts w:ascii="Times New Roman" w:hAnsi="Times New Roman" w:cs="Times New Roman"/>
          <w:w w:val="110"/>
        </w:rPr>
        <w:t>has</w:t>
      </w:r>
      <w:r w:rsidR="00B3013B" w:rsidRPr="00320ADF">
        <w:rPr>
          <w:rFonts w:ascii="Times New Roman" w:hAnsi="Times New Roman" w:cs="Times New Roman"/>
          <w:spacing w:val="-8"/>
          <w:w w:val="110"/>
        </w:rPr>
        <w:t xml:space="preserve"> </w:t>
      </w:r>
      <w:r w:rsidR="00B3013B" w:rsidRPr="00320ADF">
        <w:rPr>
          <w:rFonts w:ascii="Times New Roman" w:hAnsi="Times New Roman" w:cs="Times New Roman"/>
          <w:w w:val="110"/>
        </w:rPr>
        <w:t>the</w:t>
      </w:r>
      <w:r w:rsidR="00B3013B" w:rsidRPr="00320ADF">
        <w:rPr>
          <w:rFonts w:ascii="Times New Roman" w:hAnsi="Times New Roman" w:cs="Times New Roman"/>
          <w:spacing w:val="-7"/>
          <w:w w:val="110"/>
        </w:rPr>
        <w:t xml:space="preserve"> </w:t>
      </w:r>
      <w:r w:rsidR="00B3013B" w:rsidRPr="00320ADF">
        <w:rPr>
          <w:rFonts w:ascii="Times New Roman" w:hAnsi="Times New Roman" w:cs="Times New Roman"/>
          <w:w w:val="110"/>
        </w:rPr>
        <w:t>fiduciary</w:t>
      </w:r>
      <w:r w:rsidR="00B3013B" w:rsidRPr="00320ADF">
        <w:rPr>
          <w:rFonts w:ascii="Times New Roman" w:hAnsi="Times New Roman" w:cs="Times New Roman"/>
          <w:spacing w:val="-6"/>
          <w:w w:val="110"/>
        </w:rPr>
        <w:t xml:space="preserve"> </w:t>
      </w:r>
      <w:r w:rsidR="00B3013B" w:rsidRPr="00320ADF">
        <w:rPr>
          <w:rFonts w:ascii="Times New Roman" w:hAnsi="Times New Roman" w:cs="Times New Roman"/>
          <w:w w:val="110"/>
        </w:rPr>
        <w:t>obligation of</w:t>
      </w:r>
      <w:r w:rsidR="00B3013B" w:rsidRPr="00320ADF">
        <w:rPr>
          <w:rFonts w:ascii="Times New Roman" w:hAnsi="Times New Roman" w:cs="Times New Roman"/>
          <w:spacing w:val="-7"/>
          <w:w w:val="110"/>
        </w:rPr>
        <w:t xml:space="preserve"> </w:t>
      </w:r>
      <w:r w:rsidR="00B3013B" w:rsidRPr="00320ADF">
        <w:rPr>
          <w:rFonts w:ascii="Times New Roman" w:hAnsi="Times New Roman" w:cs="Times New Roman"/>
          <w:w w:val="110"/>
        </w:rPr>
        <w:t>any</w:t>
      </w:r>
      <w:r w:rsidR="00B3013B" w:rsidRPr="00320ADF">
        <w:rPr>
          <w:rFonts w:ascii="Times New Roman" w:hAnsi="Times New Roman" w:cs="Times New Roman"/>
          <w:spacing w:val="-4"/>
          <w:w w:val="110"/>
        </w:rPr>
        <w:t xml:space="preserve"> </w:t>
      </w:r>
      <w:r w:rsidR="00B3013B" w:rsidRPr="00320ADF">
        <w:rPr>
          <w:rFonts w:ascii="Times New Roman" w:hAnsi="Times New Roman" w:cs="Times New Roman"/>
          <w:w w:val="110"/>
        </w:rPr>
        <w:t>trustee</w:t>
      </w:r>
      <w:r w:rsidR="00B3013B" w:rsidRPr="00320ADF">
        <w:rPr>
          <w:rFonts w:ascii="Times New Roman" w:hAnsi="Times New Roman" w:cs="Times New Roman"/>
          <w:spacing w:val="-6"/>
          <w:w w:val="110"/>
        </w:rPr>
        <w:t xml:space="preserve"> </w:t>
      </w:r>
      <w:r w:rsidR="00B3013B" w:rsidRPr="00320ADF">
        <w:rPr>
          <w:rFonts w:ascii="Times New Roman" w:hAnsi="Times New Roman" w:cs="Times New Roman"/>
          <w:w w:val="110"/>
        </w:rPr>
        <w:t>to</w:t>
      </w:r>
      <w:r w:rsidR="00B3013B" w:rsidRPr="00320ADF">
        <w:rPr>
          <w:rFonts w:ascii="Times New Roman" w:hAnsi="Times New Roman" w:cs="Times New Roman"/>
          <w:spacing w:val="-4"/>
          <w:w w:val="110"/>
        </w:rPr>
        <w:t xml:space="preserve"> </w:t>
      </w:r>
      <w:r w:rsidR="00B3013B" w:rsidRPr="00320ADF">
        <w:rPr>
          <w:rFonts w:ascii="Times New Roman" w:hAnsi="Times New Roman" w:cs="Times New Roman"/>
          <w:w w:val="110"/>
        </w:rPr>
        <w:t>seek</w:t>
      </w:r>
      <w:r w:rsidR="00B3013B" w:rsidRPr="00320ADF">
        <w:rPr>
          <w:rFonts w:ascii="Times New Roman" w:hAnsi="Times New Roman" w:cs="Times New Roman"/>
          <w:spacing w:val="-5"/>
          <w:w w:val="110"/>
        </w:rPr>
        <w:t xml:space="preserve"> </w:t>
      </w:r>
      <w:r w:rsidR="00B3013B" w:rsidRPr="00320ADF">
        <w:rPr>
          <w:rFonts w:ascii="Times New Roman" w:hAnsi="Times New Roman" w:cs="Times New Roman"/>
          <w:w w:val="110"/>
        </w:rPr>
        <w:t>damages</w:t>
      </w:r>
      <w:r w:rsidR="00B3013B" w:rsidRPr="00320ADF">
        <w:rPr>
          <w:rFonts w:ascii="Times New Roman" w:hAnsi="Times New Roman" w:cs="Times New Roman"/>
          <w:spacing w:val="-7"/>
          <w:w w:val="110"/>
        </w:rPr>
        <w:t xml:space="preserve"> </w:t>
      </w:r>
      <w:r w:rsidR="00B3013B" w:rsidRPr="00320ADF">
        <w:rPr>
          <w:rFonts w:ascii="Times New Roman" w:hAnsi="Times New Roman" w:cs="Times New Roman"/>
          <w:w w:val="110"/>
        </w:rPr>
        <w:t>for</w:t>
      </w:r>
      <w:r w:rsidR="00B3013B" w:rsidRPr="00320ADF">
        <w:rPr>
          <w:rFonts w:ascii="Times New Roman" w:hAnsi="Times New Roman" w:cs="Times New Roman"/>
          <w:spacing w:val="-4"/>
          <w:w w:val="110"/>
        </w:rPr>
        <w:t xml:space="preserve"> </w:t>
      </w:r>
      <w:r w:rsidR="00B3013B" w:rsidRPr="00320ADF">
        <w:rPr>
          <w:rFonts w:ascii="Times New Roman" w:hAnsi="Times New Roman" w:cs="Times New Roman"/>
          <w:w w:val="110"/>
        </w:rPr>
        <w:t>injury</w:t>
      </w:r>
      <w:r w:rsidR="00B3013B" w:rsidRPr="00320ADF">
        <w:rPr>
          <w:rFonts w:ascii="Times New Roman" w:hAnsi="Times New Roman" w:cs="Times New Roman"/>
          <w:spacing w:val="-6"/>
          <w:w w:val="110"/>
        </w:rPr>
        <w:t xml:space="preserve"> </w:t>
      </w:r>
      <w:r w:rsidR="00B3013B" w:rsidRPr="00320ADF">
        <w:rPr>
          <w:rFonts w:ascii="Times New Roman" w:hAnsi="Times New Roman" w:cs="Times New Roman"/>
          <w:w w:val="110"/>
        </w:rPr>
        <w:t>to</w:t>
      </w:r>
      <w:r w:rsidR="00B3013B" w:rsidRPr="00320ADF">
        <w:rPr>
          <w:rFonts w:ascii="Times New Roman" w:hAnsi="Times New Roman" w:cs="Times New Roman"/>
          <w:spacing w:val="-4"/>
          <w:w w:val="110"/>
        </w:rPr>
        <w:t xml:space="preserve"> </w:t>
      </w:r>
      <w:r w:rsidR="00B3013B" w:rsidRPr="00320ADF">
        <w:rPr>
          <w:rFonts w:ascii="Times New Roman" w:hAnsi="Times New Roman" w:cs="Times New Roman"/>
          <w:w w:val="110"/>
        </w:rPr>
        <w:t>the</w:t>
      </w:r>
      <w:r w:rsidR="00B3013B" w:rsidRPr="00320ADF">
        <w:rPr>
          <w:rFonts w:ascii="Times New Roman" w:hAnsi="Times New Roman" w:cs="Times New Roman"/>
          <w:spacing w:val="-4"/>
          <w:w w:val="110"/>
        </w:rPr>
        <w:t xml:space="preserve"> </w:t>
      </w:r>
      <w:r w:rsidR="00B3013B" w:rsidRPr="00320ADF">
        <w:rPr>
          <w:rFonts w:ascii="Times New Roman" w:hAnsi="Times New Roman" w:cs="Times New Roman"/>
          <w:w w:val="110"/>
        </w:rPr>
        <w:t>object</w:t>
      </w:r>
      <w:r w:rsidR="00B3013B" w:rsidRPr="00320ADF">
        <w:rPr>
          <w:rFonts w:ascii="Times New Roman" w:hAnsi="Times New Roman" w:cs="Times New Roman"/>
          <w:spacing w:val="-7"/>
          <w:w w:val="110"/>
        </w:rPr>
        <w:t xml:space="preserve"> </w:t>
      </w:r>
      <w:r w:rsidR="00B3013B" w:rsidRPr="00320ADF">
        <w:rPr>
          <w:rFonts w:ascii="Times New Roman" w:hAnsi="Times New Roman" w:cs="Times New Roman"/>
          <w:w w:val="110"/>
        </w:rPr>
        <w:t>of</w:t>
      </w:r>
      <w:r w:rsidR="00B3013B" w:rsidRPr="00320ADF">
        <w:rPr>
          <w:rFonts w:ascii="Times New Roman" w:hAnsi="Times New Roman" w:cs="Times New Roman"/>
          <w:spacing w:val="-4"/>
          <w:w w:val="110"/>
        </w:rPr>
        <w:t xml:space="preserve"> </w:t>
      </w:r>
      <w:r w:rsidR="00B3013B" w:rsidRPr="00320ADF">
        <w:rPr>
          <w:rFonts w:ascii="Times New Roman" w:hAnsi="Times New Roman" w:cs="Times New Roman"/>
          <w:w w:val="110"/>
        </w:rPr>
        <w:t>its</w:t>
      </w:r>
      <w:r w:rsidR="00B3013B" w:rsidRPr="00320ADF">
        <w:rPr>
          <w:rFonts w:ascii="Times New Roman" w:hAnsi="Times New Roman" w:cs="Times New Roman"/>
          <w:spacing w:val="-6"/>
          <w:w w:val="110"/>
        </w:rPr>
        <w:t xml:space="preserve"> </w:t>
      </w:r>
      <w:r w:rsidR="00B3013B" w:rsidRPr="00320ADF">
        <w:rPr>
          <w:rFonts w:ascii="Times New Roman" w:hAnsi="Times New Roman" w:cs="Times New Roman"/>
          <w:w w:val="110"/>
        </w:rPr>
        <w:t>trust.”</w:t>
      </w:r>
      <w:r w:rsidR="00B3013B" w:rsidRPr="00320ADF">
        <w:rPr>
          <w:rStyle w:val="FootnoteReference"/>
          <w:rFonts w:ascii="Times New Roman" w:hAnsi="Times New Roman" w:cs="Times New Roman"/>
          <w:w w:val="110"/>
          <w:position w:val="10"/>
        </w:rPr>
        <w:footnoteReference w:id="60"/>
      </w:r>
      <w:r w:rsidR="00B3013B" w:rsidRPr="00320ADF">
        <w:rPr>
          <w:rFonts w:ascii="Times New Roman" w:hAnsi="Times New Roman" w:cs="Times New Roman"/>
          <w:w w:val="110"/>
        </w:rPr>
        <w:t xml:space="preserve">  In</w:t>
      </w:r>
      <w:r w:rsidR="00B3013B" w:rsidRPr="00320ADF">
        <w:rPr>
          <w:rFonts w:ascii="Times New Roman" w:hAnsi="Times New Roman" w:cs="Times New Roman"/>
          <w:spacing w:val="-6"/>
          <w:w w:val="110"/>
        </w:rPr>
        <w:t xml:space="preserve"> </w:t>
      </w:r>
      <w:r w:rsidR="00B3013B" w:rsidRPr="00320ADF">
        <w:rPr>
          <w:rFonts w:ascii="Times New Roman" w:hAnsi="Times New Roman" w:cs="Times New Roman"/>
          <w:i/>
          <w:w w:val="110"/>
        </w:rPr>
        <w:t>In</w:t>
      </w:r>
      <w:r w:rsidR="00B3013B" w:rsidRPr="00320ADF">
        <w:rPr>
          <w:rFonts w:ascii="Times New Roman" w:hAnsi="Times New Roman" w:cs="Times New Roman"/>
          <w:i/>
          <w:spacing w:val="-7"/>
          <w:w w:val="110"/>
        </w:rPr>
        <w:t xml:space="preserve"> </w:t>
      </w:r>
      <w:r w:rsidR="00B3013B" w:rsidRPr="00320ADF">
        <w:rPr>
          <w:rFonts w:ascii="Times New Roman" w:hAnsi="Times New Roman" w:cs="Times New Roman"/>
          <w:i/>
          <w:w w:val="110"/>
        </w:rPr>
        <w:t xml:space="preserve">Re </w:t>
      </w:r>
      <w:proofErr w:type="spellStart"/>
      <w:r w:rsidR="00B3013B" w:rsidRPr="00320ADF">
        <w:rPr>
          <w:rFonts w:ascii="Times New Roman" w:hAnsi="Times New Roman" w:cs="Times New Roman"/>
          <w:i/>
          <w:w w:val="107"/>
        </w:rPr>
        <w:t>Ste</w:t>
      </w:r>
      <w:r w:rsidR="00B3013B" w:rsidRPr="00320ADF">
        <w:rPr>
          <w:rFonts w:ascii="Times New Roman" w:hAnsi="Times New Roman" w:cs="Times New Roman"/>
          <w:i/>
          <w:spacing w:val="-2"/>
          <w:w w:val="107"/>
        </w:rPr>
        <w:t>u</w:t>
      </w:r>
      <w:r w:rsidR="00B3013B" w:rsidRPr="00320ADF">
        <w:rPr>
          <w:rFonts w:ascii="Times New Roman" w:hAnsi="Times New Roman" w:cs="Times New Roman"/>
          <w:i/>
          <w:w w:val="99"/>
        </w:rPr>
        <w:t>art</w:t>
      </w:r>
      <w:proofErr w:type="spellEnd"/>
      <w:r w:rsidR="00B3013B" w:rsidRPr="00320ADF">
        <w:rPr>
          <w:rFonts w:ascii="Times New Roman" w:hAnsi="Times New Roman" w:cs="Times New Roman"/>
          <w:i/>
        </w:rPr>
        <w:t xml:space="preserve"> </w:t>
      </w:r>
      <w:r w:rsidR="00B3013B" w:rsidRPr="00320ADF">
        <w:rPr>
          <w:rFonts w:ascii="Times New Roman" w:hAnsi="Times New Roman" w:cs="Times New Roman"/>
          <w:i/>
          <w:spacing w:val="-19"/>
        </w:rPr>
        <w:t xml:space="preserve"> </w:t>
      </w:r>
      <w:r w:rsidR="00B3013B" w:rsidRPr="00320ADF">
        <w:rPr>
          <w:rFonts w:ascii="Times New Roman" w:hAnsi="Times New Roman" w:cs="Times New Roman"/>
          <w:i/>
        </w:rPr>
        <w:t>T</w:t>
      </w:r>
      <w:r w:rsidR="00B3013B" w:rsidRPr="00320ADF">
        <w:rPr>
          <w:rFonts w:ascii="Times New Roman" w:hAnsi="Times New Roman" w:cs="Times New Roman"/>
          <w:i/>
          <w:spacing w:val="-2"/>
        </w:rPr>
        <w:t>r</w:t>
      </w:r>
      <w:r w:rsidR="00B3013B" w:rsidRPr="00320ADF">
        <w:rPr>
          <w:rFonts w:ascii="Times New Roman" w:hAnsi="Times New Roman" w:cs="Times New Roman"/>
          <w:i/>
          <w:w w:val="103"/>
        </w:rPr>
        <w:t>an</w:t>
      </w:r>
      <w:r w:rsidR="00B3013B" w:rsidRPr="00320ADF">
        <w:rPr>
          <w:rFonts w:ascii="Times New Roman" w:hAnsi="Times New Roman" w:cs="Times New Roman"/>
          <w:i/>
          <w:spacing w:val="-2"/>
          <w:w w:val="103"/>
        </w:rPr>
        <w:t>s</w:t>
      </w:r>
      <w:r w:rsidR="00B3013B" w:rsidRPr="00320ADF">
        <w:rPr>
          <w:rFonts w:ascii="Times New Roman" w:hAnsi="Times New Roman" w:cs="Times New Roman"/>
          <w:i/>
          <w:w w:val="103"/>
        </w:rPr>
        <w:t>portation</w:t>
      </w:r>
      <w:r w:rsidR="00B3013B" w:rsidRPr="00320ADF">
        <w:rPr>
          <w:rFonts w:ascii="Times New Roman" w:hAnsi="Times New Roman" w:cs="Times New Roman"/>
          <w:i/>
        </w:rPr>
        <w:t xml:space="preserve"> </w:t>
      </w:r>
      <w:r w:rsidR="00B3013B" w:rsidRPr="00320ADF">
        <w:rPr>
          <w:rFonts w:ascii="Times New Roman" w:hAnsi="Times New Roman" w:cs="Times New Roman"/>
          <w:i/>
          <w:spacing w:val="-19"/>
        </w:rPr>
        <w:t xml:space="preserve"> </w:t>
      </w:r>
      <w:r w:rsidR="00B3013B" w:rsidRPr="00320ADF">
        <w:rPr>
          <w:rFonts w:ascii="Times New Roman" w:hAnsi="Times New Roman" w:cs="Times New Roman"/>
          <w:i/>
          <w:w w:val="99"/>
        </w:rPr>
        <w:t>Co</w:t>
      </w:r>
      <w:r w:rsidR="00B3013B" w:rsidRPr="00320ADF">
        <w:rPr>
          <w:rFonts w:ascii="Times New Roman" w:hAnsi="Times New Roman" w:cs="Times New Roman"/>
          <w:i/>
          <w:spacing w:val="-2"/>
          <w:w w:val="99"/>
        </w:rPr>
        <w:t>.</w:t>
      </w:r>
      <w:r w:rsidR="00B3013B" w:rsidRPr="00320ADF">
        <w:rPr>
          <w:rFonts w:ascii="Times New Roman" w:hAnsi="Times New Roman" w:cs="Times New Roman"/>
        </w:rPr>
        <w:t>,</w:t>
      </w:r>
      <w:r w:rsidR="00B3013B" w:rsidRPr="00320ADF">
        <w:rPr>
          <w:rStyle w:val="FootnoteReference"/>
          <w:rFonts w:ascii="Times New Roman" w:hAnsi="Times New Roman" w:cs="Times New Roman"/>
        </w:rPr>
        <w:footnoteReference w:id="61"/>
      </w:r>
      <w:r w:rsidR="00B3013B" w:rsidRPr="00320ADF">
        <w:rPr>
          <w:rFonts w:ascii="Times New Roman" w:hAnsi="Times New Roman" w:cs="Times New Roman"/>
          <w:position w:val="10"/>
        </w:rPr>
        <w:t xml:space="preserve">  </w:t>
      </w:r>
      <w:r w:rsidR="00B3013B" w:rsidRPr="00320ADF">
        <w:rPr>
          <w:rFonts w:ascii="Times New Roman" w:hAnsi="Times New Roman" w:cs="Times New Roman"/>
          <w:w w:val="112"/>
        </w:rPr>
        <w:t>a</w:t>
      </w:r>
      <w:r w:rsidR="00B3013B" w:rsidRPr="00320ADF">
        <w:rPr>
          <w:rFonts w:ascii="Times New Roman" w:hAnsi="Times New Roman" w:cs="Times New Roman"/>
        </w:rPr>
        <w:t xml:space="preserve"> </w:t>
      </w:r>
      <w:r w:rsidR="00B3013B" w:rsidRPr="00320ADF">
        <w:rPr>
          <w:rFonts w:ascii="Times New Roman" w:hAnsi="Times New Roman" w:cs="Times New Roman"/>
          <w:spacing w:val="-14"/>
        </w:rPr>
        <w:t xml:space="preserve"> </w:t>
      </w:r>
      <w:r w:rsidR="00B3013B" w:rsidRPr="00320ADF">
        <w:rPr>
          <w:rFonts w:ascii="Times New Roman" w:hAnsi="Times New Roman" w:cs="Times New Roman"/>
          <w:w w:val="107"/>
        </w:rPr>
        <w:lastRenderedPageBreak/>
        <w:t>f</w:t>
      </w:r>
      <w:r w:rsidR="00B3013B" w:rsidRPr="00320ADF">
        <w:rPr>
          <w:rFonts w:ascii="Times New Roman" w:hAnsi="Times New Roman" w:cs="Times New Roman"/>
          <w:spacing w:val="-1"/>
          <w:w w:val="107"/>
        </w:rPr>
        <w:t>e</w:t>
      </w:r>
      <w:r w:rsidR="00B3013B" w:rsidRPr="00320ADF">
        <w:rPr>
          <w:rFonts w:ascii="Times New Roman" w:hAnsi="Times New Roman" w:cs="Times New Roman"/>
          <w:w w:val="112"/>
        </w:rPr>
        <w:t>d</w:t>
      </w:r>
      <w:r w:rsidR="00B3013B" w:rsidRPr="00320ADF">
        <w:rPr>
          <w:rFonts w:ascii="Times New Roman" w:hAnsi="Times New Roman" w:cs="Times New Roman"/>
          <w:spacing w:val="-1"/>
          <w:w w:val="112"/>
        </w:rPr>
        <w:t>e</w:t>
      </w:r>
      <w:r w:rsidR="00B3013B" w:rsidRPr="00320ADF">
        <w:rPr>
          <w:rFonts w:ascii="Times New Roman" w:hAnsi="Times New Roman" w:cs="Times New Roman"/>
          <w:w w:val="110"/>
        </w:rPr>
        <w:t>ral</w:t>
      </w:r>
      <w:r w:rsidR="00B3013B" w:rsidRPr="00320ADF">
        <w:rPr>
          <w:rFonts w:ascii="Times New Roman" w:hAnsi="Times New Roman" w:cs="Times New Roman"/>
        </w:rPr>
        <w:t xml:space="preserve"> </w:t>
      </w:r>
      <w:r w:rsidR="00B3013B" w:rsidRPr="00320ADF">
        <w:rPr>
          <w:rFonts w:ascii="Times New Roman" w:hAnsi="Times New Roman" w:cs="Times New Roman"/>
          <w:spacing w:val="-15"/>
        </w:rPr>
        <w:t xml:space="preserve"> </w:t>
      </w:r>
      <w:r w:rsidR="00B3013B" w:rsidRPr="00320ADF">
        <w:rPr>
          <w:rFonts w:ascii="Times New Roman" w:hAnsi="Times New Roman" w:cs="Times New Roman"/>
          <w:w w:val="107"/>
        </w:rPr>
        <w:t>d</w:t>
      </w:r>
      <w:r w:rsidR="00B3013B" w:rsidRPr="00320ADF">
        <w:rPr>
          <w:rFonts w:ascii="Times New Roman" w:hAnsi="Times New Roman" w:cs="Times New Roman"/>
          <w:spacing w:val="-1"/>
          <w:w w:val="107"/>
        </w:rPr>
        <w:t>i</w:t>
      </w:r>
      <w:r w:rsidR="00B3013B" w:rsidRPr="00320ADF">
        <w:rPr>
          <w:rFonts w:ascii="Times New Roman" w:hAnsi="Times New Roman" w:cs="Times New Roman"/>
          <w:w w:val="113"/>
        </w:rPr>
        <w:t>str</w:t>
      </w:r>
      <w:r w:rsidR="00B3013B" w:rsidRPr="00320ADF">
        <w:rPr>
          <w:rFonts w:ascii="Times New Roman" w:hAnsi="Times New Roman" w:cs="Times New Roman"/>
          <w:spacing w:val="-1"/>
          <w:w w:val="113"/>
        </w:rPr>
        <w:t>i</w:t>
      </w:r>
      <w:r w:rsidR="00B3013B" w:rsidRPr="00320ADF">
        <w:rPr>
          <w:rFonts w:ascii="Times New Roman" w:hAnsi="Times New Roman" w:cs="Times New Roman"/>
          <w:spacing w:val="-1"/>
          <w:w w:val="112"/>
        </w:rPr>
        <w:t>c</w:t>
      </w:r>
      <w:r w:rsidR="00B3013B" w:rsidRPr="00320ADF">
        <w:rPr>
          <w:rFonts w:ascii="Times New Roman" w:hAnsi="Times New Roman" w:cs="Times New Roman"/>
          <w:w w:val="120"/>
        </w:rPr>
        <w:t>t</w:t>
      </w:r>
      <w:r w:rsidR="00B3013B" w:rsidRPr="00320ADF">
        <w:rPr>
          <w:rFonts w:ascii="Times New Roman" w:hAnsi="Times New Roman" w:cs="Times New Roman"/>
        </w:rPr>
        <w:t xml:space="preserve"> </w:t>
      </w:r>
      <w:r w:rsidR="00B3013B" w:rsidRPr="00320ADF">
        <w:rPr>
          <w:rFonts w:ascii="Times New Roman" w:hAnsi="Times New Roman" w:cs="Times New Roman"/>
          <w:spacing w:val="-14"/>
        </w:rPr>
        <w:t xml:space="preserve"> </w:t>
      </w:r>
      <w:r w:rsidR="00B3013B" w:rsidRPr="00320ADF">
        <w:rPr>
          <w:rFonts w:ascii="Times New Roman" w:hAnsi="Times New Roman" w:cs="Times New Roman"/>
          <w:w w:val="111"/>
        </w:rPr>
        <w:t>co</w:t>
      </w:r>
      <w:r w:rsidR="00B3013B" w:rsidRPr="00320ADF">
        <w:rPr>
          <w:rFonts w:ascii="Times New Roman" w:hAnsi="Times New Roman" w:cs="Times New Roman"/>
          <w:spacing w:val="-2"/>
          <w:w w:val="111"/>
        </w:rPr>
        <w:t>u</w:t>
      </w:r>
      <w:r w:rsidR="00B3013B" w:rsidRPr="00320ADF">
        <w:rPr>
          <w:rFonts w:ascii="Times New Roman" w:hAnsi="Times New Roman" w:cs="Times New Roman"/>
          <w:w w:val="117"/>
        </w:rPr>
        <w:t>r</w:t>
      </w:r>
      <w:r w:rsidR="00B3013B" w:rsidRPr="00320ADF">
        <w:rPr>
          <w:rFonts w:ascii="Times New Roman" w:hAnsi="Times New Roman" w:cs="Times New Roman"/>
          <w:w w:val="120"/>
        </w:rPr>
        <w:t>t</w:t>
      </w:r>
      <w:r w:rsidR="00B3013B" w:rsidRPr="00320ADF">
        <w:rPr>
          <w:rFonts w:ascii="Times New Roman" w:hAnsi="Times New Roman" w:cs="Times New Roman"/>
        </w:rPr>
        <w:t xml:space="preserve"> </w:t>
      </w:r>
      <w:r w:rsidR="00B3013B" w:rsidRPr="00320ADF">
        <w:rPr>
          <w:rFonts w:ascii="Times New Roman" w:hAnsi="Times New Roman" w:cs="Times New Roman"/>
          <w:spacing w:val="-14"/>
        </w:rPr>
        <w:t xml:space="preserve"> </w:t>
      </w:r>
      <w:r w:rsidR="00B3013B" w:rsidRPr="00320ADF">
        <w:rPr>
          <w:rFonts w:ascii="Times New Roman" w:hAnsi="Times New Roman" w:cs="Times New Roman"/>
          <w:spacing w:val="-2"/>
          <w:w w:val="111"/>
        </w:rPr>
        <w:t>h</w:t>
      </w:r>
      <w:r w:rsidR="00B3013B" w:rsidRPr="00320ADF">
        <w:rPr>
          <w:rFonts w:ascii="Times New Roman" w:hAnsi="Times New Roman" w:cs="Times New Roman"/>
          <w:w w:val="112"/>
        </w:rPr>
        <w:t>e</w:t>
      </w:r>
      <w:r w:rsidR="00B3013B" w:rsidRPr="00320ADF">
        <w:rPr>
          <w:rFonts w:ascii="Times New Roman" w:hAnsi="Times New Roman" w:cs="Times New Roman"/>
          <w:spacing w:val="-1"/>
        </w:rPr>
        <w:t>l</w:t>
      </w:r>
      <w:r w:rsidR="00B3013B" w:rsidRPr="00320ADF">
        <w:rPr>
          <w:rFonts w:ascii="Times New Roman" w:hAnsi="Times New Roman" w:cs="Times New Roman"/>
          <w:w w:val="111"/>
        </w:rPr>
        <w:t>d</w:t>
      </w:r>
      <w:r w:rsidR="00B3013B" w:rsidRPr="00320ADF">
        <w:rPr>
          <w:rFonts w:ascii="Times New Roman" w:hAnsi="Times New Roman" w:cs="Times New Roman"/>
        </w:rPr>
        <w:t xml:space="preserve"> </w:t>
      </w:r>
      <w:r w:rsidR="00B3013B" w:rsidRPr="00320ADF">
        <w:rPr>
          <w:rFonts w:ascii="Times New Roman" w:hAnsi="Times New Roman" w:cs="Times New Roman"/>
          <w:spacing w:val="-14"/>
        </w:rPr>
        <w:t xml:space="preserve"> </w:t>
      </w:r>
      <w:r w:rsidR="00B3013B" w:rsidRPr="00320ADF">
        <w:rPr>
          <w:rFonts w:ascii="Times New Roman" w:hAnsi="Times New Roman" w:cs="Times New Roman"/>
          <w:w w:val="114"/>
        </w:rPr>
        <w:t>t</w:t>
      </w:r>
      <w:r w:rsidR="00B3013B" w:rsidRPr="00320ADF">
        <w:rPr>
          <w:rFonts w:ascii="Times New Roman" w:hAnsi="Times New Roman" w:cs="Times New Roman"/>
          <w:spacing w:val="-2"/>
          <w:w w:val="114"/>
        </w:rPr>
        <w:t>h</w:t>
      </w:r>
      <w:r w:rsidR="00B3013B" w:rsidRPr="00320ADF">
        <w:rPr>
          <w:rFonts w:ascii="Times New Roman" w:hAnsi="Times New Roman" w:cs="Times New Roman"/>
          <w:w w:val="115"/>
        </w:rPr>
        <w:t>at</w:t>
      </w:r>
      <w:r w:rsidR="00B3013B" w:rsidRPr="00320ADF">
        <w:rPr>
          <w:rFonts w:ascii="Times New Roman" w:hAnsi="Times New Roman" w:cs="Times New Roman"/>
        </w:rPr>
        <w:t xml:space="preserve"> </w:t>
      </w:r>
      <w:r w:rsidR="00B3013B" w:rsidRPr="00320ADF">
        <w:rPr>
          <w:rFonts w:ascii="Times New Roman" w:hAnsi="Times New Roman" w:cs="Times New Roman"/>
          <w:spacing w:val="-14"/>
        </w:rPr>
        <w:t xml:space="preserve"> </w:t>
      </w:r>
      <w:r w:rsidR="00B3013B" w:rsidRPr="00320ADF">
        <w:rPr>
          <w:rFonts w:ascii="Times New Roman" w:hAnsi="Times New Roman" w:cs="Times New Roman"/>
          <w:spacing w:val="-1"/>
          <w:w w:val="120"/>
        </w:rPr>
        <w:t>t</w:t>
      </w:r>
      <w:r w:rsidR="00B3013B" w:rsidRPr="00320ADF">
        <w:rPr>
          <w:rFonts w:ascii="Times New Roman" w:hAnsi="Times New Roman" w:cs="Times New Roman"/>
          <w:w w:val="111"/>
        </w:rPr>
        <w:t>h</w:t>
      </w:r>
      <w:r w:rsidR="00B3013B" w:rsidRPr="00320ADF">
        <w:rPr>
          <w:rFonts w:ascii="Times New Roman" w:hAnsi="Times New Roman" w:cs="Times New Roman"/>
          <w:w w:val="112"/>
        </w:rPr>
        <w:t>e</w:t>
      </w:r>
      <w:r w:rsidR="00B3013B" w:rsidRPr="00320ADF">
        <w:rPr>
          <w:rFonts w:ascii="Times New Roman" w:hAnsi="Times New Roman" w:cs="Times New Roman"/>
        </w:rPr>
        <w:t xml:space="preserve"> </w:t>
      </w:r>
      <w:r w:rsidR="00B3013B" w:rsidRPr="00320ADF">
        <w:rPr>
          <w:rFonts w:ascii="Times New Roman" w:hAnsi="Times New Roman" w:cs="Times New Roman"/>
          <w:spacing w:val="-14"/>
        </w:rPr>
        <w:t xml:space="preserve"> </w:t>
      </w:r>
      <w:r w:rsidR="00B3013B" w:rsidRPr="00320ADF">
        <w:rPr>
          <w:rFonts w:ascii="Times New Roman" w:hAnsi="Times New Roman" w:cs="Times New Roman"/>
          <w:spacing w:val="-1"/>
        </w:rPr>
        <w:t>f</w:t>
      </w:r>
      <w:r w:rsidR="00B3013B" w:rsidRPr="00320ADF">
        <w:rPr>
          <w:rFonts w:ascii="Times New Roman" w:hAnsi="Times New Roman" w:cs="Times New Roman"/>
          <w:w w:val="112"/>
        </w:rPr>
        <w:t>e</w:t>
      </w:r>
      <w:r w:rsidR="00B3013B" w:rsidRPr="00320ADF">
        <w:rPr>
          <w:rFonts w:ascii="Times New Roman" w:hAnsi="Times New Roman" w:cs="Times New Roman"/>
          <w:spacing w:val="-2"/>
          <w:w w:val="111"/>
        </w:rPr>
        <w:t>d</w:t>
      </w:r>
      <w:r w:rsidR="00B3013B" w:rsidRPr="00320ADF">
        <w:rPr>
          <w:rFonts w:ascii="Times New Roman" w:hAnsi="Times New Roman" w:cs="Times New Roman"/>
          <w:w w:val="112"/>
        </w:rPr>
        <w:t>e</w:t>
      </w:r>
      <w:r w:rsidR="00B3013B" w:rsidRPr="00320ADF">
        <w:rPr>
          <w:rFonts w:ascii="Times New Roman" w:hAnsi="Times New Roman" w:cs="Times New Roman"/>
          <w:spacing w:val="-2"/>
          <w:w w:val="117"/>
        </w:rPr>
        <w:t>r</w:t>
      </w:r>
      <w:r w:rsidR="00B3013B" w:rsidRPr="00320ADF">
        <w:rPr>
          <w:rFonts w:ascii="Times New Roman" w:hAnsi="Times New Roman" w:cs="Times New Roman"/>
          <w:spacing w:val="-1"/>
          <w:w w:val="112"/>
        </w:rPr>
        <w:t>a</w:t>
      </w:r>
      <w:r w:rsidR="00B3013B" w:rsidRPr="00320ADF">
        <w:rPr>
          <w:rFonts w:ascii="Times New Roman" w:hAnsi="Times New Roman" w:cs="Times New Roman"/>
        </w:rPr>
        <w:t xml:space="preserve">l </w:t>
      </w:r>
      <w:r w:rsidR="00B3013B" w:rsidRPr="00320ADF">
        <w:rPr>
          <w:rFonts w:ascii="Times New Roman" w:hAnsi="Times New Roman" w:cs="Times New Roman"/>
          <w:w w:val="110"/>
        </w:rPr>
        <w:t>government and the state of Virginia could recover</w:t>
      </w:r>
      <w:r w:rsidR="005747C4">
        <w:rPr>
          <w:rFonts w:ascii="Times New Roman" w:hAnsi="Times New Roman" w:cs="Times New Roman"/>
          <w:w w:val="110"/>
        </w:rPr>
        <w:t xml:space="preserve"> under the public trust doctrine</w:t>
      </w:r>
      <w:r w:rsidR="00B3013B" w:rsidRPr="00320ADF">
        <w:rPr>
          <w:rFonts w:ascii="Times New Roman" w:hAnsi="Times New Roman" w:cs="Times New Roman"/>
          <w:w w:val="110"/>
        </w:rPr>
        <w:t xml:space="preserve"> for the loss of migratory waterfowl resulting from an oil spill, absent any statutory basis.</w:t>
      </w:r>
      <w:r w:rsidR="00E074E8">
        <w:rPr>
          <w:rStyle w:val="FootnoteReference"/>
          <w:rFonts w:ascii="Times New Roman" w:hAnsi="Times New Roman" w:cs="Times New Roman"/>
          <w:spacing w:val="-2"/>
        </w:rPr>
        <w:footnoteReference w:id="62"/>
      </w:r>
      <w:r w:rsidR="00B3013B" w:rsidRPr="00320ADF">
        <w:rPr>
          <w:rFonts w:ascii="Times New Roman" w:hAnsi="Times New Roman" w:cs="Times New Roman"/>
          <w:position w:val="10"/>
        </w:rPr>
        <w:t xml:space="preserve">  </w:t>
      </w:r>
      <w:r w:rsidR="00B3013B" w:rsidRPr="00320ADF">
        <w:rPr>
          <w:rFonts w:ascii="Times New Roman" w:hAnsi="Times New Roman" w:cs="Times New Roman"/>
          <w:w w:val="106"/>
        </w:rPr>
        <w:t>In</w:t>
      </w:r>
      <w:r w:rsidR="000F0E3E">
        <w:rPr>
          <w:rFonts w:ascii="Times New Roman" w:hAnsi="Times New Roman" w:cs="Times New Roman"/>
          <w:w w:val="106"/>
        </w:rPr>
        <w:t xml:space="preserve"> Maryland,</w:t>
      </w:r>
      <w:r w:rsidR="00B3013B" w:rsidRPr="00320ADF">
        <w:rPr>
          <w:rFonts w:ascii="Times New Roman" w:hAnsi="Times New Roman" w:cs="Times New Roman"/>
          <w:color w:val="000000"/>
        </w:rPr>
        <w:t xml:space="preserve"> the</w:t>
      </w:r>
      <w:r w:rsidRPr="00320ADF">
        <w:rPr>
          <w:rFonts w:ascii="Times New Roman" w:hAnsi="Times New Roman" w:cs="Times New Roman"/>
          <w:color w:val="000000"/>
        </w:rPr>
        <w:t xml:space="preserve"> federal</w:t>
      </w:r>
      <w:r w:rsidR="00B3013B" w:rsidRPr="00320ADF">
        <w:rPr>
          <w:rFonts w:ascii="Times New Roman" w:hAnsi="Times New Roman" w:cs="Times New Roman"/>
          <w:color w:val="000000"/>
        </w:rPr>
        <w:t xml:space="preserve"> </w:t>
      </w:r>
      <w:r w:rsidR="002007E9" w:rsidRPr="00320ADF">
        <w:rPr>
          <w:rFonts w:ascii="Times New Roman" w:hAnsi="Times New Roman" w:cs="Times New Roman"/>
          <w:color w:val="000000"/>
        </w:rPr>
        <w:t xml:space="preserve">district </w:t>
      </w:r>
      <w:r w:rsidR="00B3013B" w:rsidRPr="00320ADF">
        <w:rPr>
          <w:rFonts w:ascii="Times New Roman" w:hAnsi="Times New Roman" w:cs="Times New Roman"/>
          <w:color w:val="000000"/>
        </w:rPr>
        <w:t xml:space="preserve">court imposed </w:t>
      </w:r>
      <w:r w:rsidRPr="00320ADF">
        <w:rPr>
          <w:rFonts w:ascii="Times New Roman" w:hAnsi="Times New Roman" w:cs="Times New Roman"/>
          <w:color w:val="000000"/>
        </w:rPr>
        <w:t xml:space="preserve">common law (pre-statutory) </w:t>
      </w:r>
      <w:r w:rsidR="00B3013B" w:rsidRPr="00320ADF">
        <w:rPr>
          <w:rFonts w:ascii="Times New Roman" w:hAnsi="Times New Roman" w:cs="Times New Roman"/>
          <w:color w:val="000000"/>
        </w:rPr>
        <w:t>liability for a tanker</w:t>
      </w:r>
      <w:r w:rsidR="002007E9" w:rsidRPr="00320ADF">
        <w:rPr>
          <w:rFonts w:ascii="Times New Roman" w:hAnsi="Times New Roman" w:cs="Times New Roman"/>
          <w:color w:val="000000"/>
        </w:rPr>
        <w:t>’s release of oil</w:t>
      </w:r>
      <w:r w:rsidRPr="00320ADF">
        <w:rPr>
          <w:rFonts w:ascii="Times New Roman" w:hAnsi="Times New Roman" w:cs="Times New Roman"/>
          <w:color w:val="000000"/>
        </w:rPr>
        <w:t>, stating,</w:t>
      </w:r>
      <w:r w:rsidR="00B3013B" w:rsidRPr="00320ADF">
        <w:rPr>
          <w:rFonts w:ascii="Times New Roman" w:hAnsi="Times New Roman" w:cs="Times New Roman"/>
          <w:color w:val="000000"/>
        </w:rPr>
        <w:t xml:space="preserve"> </w:t>
      </w:r>
      <w:r w:rsidR="002007E9" w:rsidRPr="00320ADF">
        <w:rPr>
          <w:rFonts w:ascii="Times New Roman" w:hAnsi="Times New Roman" w:cs="Times New Roman"/>
          <w:color w:val="000000"/>
        </w:rPr>
        <w:t xml:space="preserve">[I]f </w:t>
      </w:r>
      <w:r w:rsidR="00B3013B" w:rsidRPr="00320ADF">
        <w:rPr>
          <w:rFonts w:ascii="Times New Roman" w:hAnsi="Times New Roman" w:cs="Times New Roman"/>
          <w:color w:val="000000"/>
        </w:rPr>
        <w:t>the State is deemed to be the trustee of the waters, then, as trustee, the State must be empowered to bring suit to protect the corpus of the trust -- i.e., the waters -- for the beneficiaries of the trust -- i.e., the public.”</w:t>
      </w:r>
      <w:r w:rsidR="002D308A" w:rsidRPr="00320ADF">
        <w:rPr>
          <w:rStyle w:val="FootnoteReference"/>
          <w:rFonts w:ascii="Times New Roman" w:hAnsi="Times New Roman" w:cs="Times New Roman"/>
          <w:color w:val="000000"/>
        </w:rPr>
        <w:footnoteReference w:id="63"/>
      </w:r>
      <w:r w:rsidR="002D308A">
        <w:rPr>
          <w:rFonts w:ascii="Times New Roman" w:hAnsi="Times New Roman" w:cs="Times New Roman"/>
          <w:w w:val="106"/>
        </w:rPr>
        <w:t xml:space="preserve">  A</w:t>
      </w:r>
      <w:r w:rsidR="00B3013B" w:rsidRPr="00320ADF">
        <w:rPr>
          <w:rFonts w:ascii="Times New Roman" w:hAnsi="Times New Roman" w:cs="Times New Roman"/>
          <w:w w:val="106"/>
        </w:rPr>
        <w:t>nd in</w:t>
      </w:r>
      <w:r w:rsidR="00B3013B" w:rsidRPr="00320ADF">
        <w:rPr>
          <w:rFonts w:ascii="Times New Roman" w:hAnsi="Times New Roman" w:cs="Times New Roman"/>
          <w:spacing w:val="15"/>
        </w:rPr>
        <w:t xml:space="preserve"> </w:t>
      </w:r>
      <w:r w:rsidR="00B3013B" w:rsidRPr="00320ADF">
        <w:rPr>
          <w:rFonts w:ascii="Times New Roman" w:hAnsi="Times New Roman" w:cs="Times New Roman"/>
          <w:i/>
          <w:spacing w:val="-1"/>
          <w:w w:val="109"/>
        </w:rPr>
        <w:t>S</w:t>
      </w:r>
      <w:r w:rsidR="00B3013B" w:rsidRPr="00320ADF">
        <w:rPr>
          <w:rFonts w:ascii="Times New Roman" w:hAnsi="Times New Roman" w:cs="Times New Roman"/>
          <w:i/>
          <w:w w:val="109"/>
        </w:rPr>
        <w:t>t</w:t>
      </w:r>
      <w:r w:rsidR="00B3013B" w:rsidRPr="00320ADF">
        <w:rPr>
          <w:rFonts w:ascii="Times New Roman" w:hAnsi="Times New Roman" w:cs="Times New Roman"/>
          <w:i/>
          <w:spacing w:val="-1"/>
          <w:w w:val="104"/>
        </w:rPr>
        <w:t>at</w:t>
      </w:r>
      <w:r w:rsidR="00B3013B" w:rsidRPr="00320ADF">
        <w:rPr>
          <w:rFonts w:ascii="Times New Roman" w:hAnsi="Times New Roman" w:cs="Times New Roman"/>
          <w:i/>
          <w:w w:val="104"/>
        </w:rPr>
        <w:t>e</w:t>
      </w:r>
      <w:r w:rsidR="00B3013B" w:rsidRPr="00320ADF">
        <w:rPr>
          <w:rFonts w:ascii="Times New Roman" w:hAnsi="Times New Roman" w:cs="Times New Roman"/>
          <w:i/>
          <w:spacing w:val="12"/>
        </w:rPr>
        <w:t xml:space="preserve"> </w:t>
      </w:r>
      <w:r w:rsidR="00B3013B" w:rsidRPr="00320ADF">
        <w:rPr>
          <w:rFonts w:ascii="Times New Roman" w:hAnsi="Times New Roman" w:cs="Times New Roman"/>
          <w:i/>
          <w:spacing w:val="-1"/>
          <w:w w:val="103"/>
        </w:rPr>
        <w:t>v</w:t>
      </w:r>
      <w:r w:rsidR="00B3013B" w:rsidRPr="00320ADF">
        <w:rPr>
          <w:rFonts w:ascii="Times New Roman" w:hAnsi="Times New Roman" w:cs="Times New Roman"/>
          <w:i/>
          <w:w w:val="103"/>
        </w:rPr>
        <w:t>.</w:t>
      </w:r>
      <w:r w:rsidR="00B3013B" w:rsidRPr="00320ADF">
        <w:rPr>
          <w:rFonts w:ascii="Times New Roman" w:hAnsi="Times New Roman" w:cs="Times New Roman"/>
          <w:i/>
          <w:spacing w:val="11"/>
        </w:rPr>
        <w:t xml:space="preserve"> </w:t>
      </w:r>
      <w:r w:rsidR="00B3013B" w:rsidRPr="00320ADF">
        <w:rPr>
          <w:rFonts w:ascii="Times New Roman" w:hAnsi="Times New Roman" w:cs="Times New Roman"/>
          <w:i/>
          <w:spacing w:val="-1"/>
          <w:w w:val="99"/>
        </w:rPr>
        <w:t>Ci</w:t>
      </w:r>
      <w:r w:rsidR="00B3013B" w:rsidRPr="00320ADF">
        <w:rPr>
          <w:rFonts w:ascii="Times New Roman" w:hAnsi="Times New Roman" w:cs="Times New Roman"/>
          <w:i/>
          <w:w w:val="99"/>
        </w:rPr>
        <w:t>t</w:t>
      </w:r>
      <w:r w:rsidR="00B3013B" w:rsidRPr="00320ADF">
        <w:rPr>
          <w:rFonts w:ascii="Times New Roman" w:hAnsi="Times New Roman" w:cs="Times New Roman"/>
          <w:i/>
          <w:w w:val="107"/>
        </w:rPr>
        <w:t>y</w:t>
      </w:r>
      <w:r w:rsidR="00B3013B" w:rsidRPr="00320ADF">
        <w:rPr>
          <w:rFonts w:ascii="Times New Roman" w:hAnsi="Times New Roman" w:cs="Times New Roman"/>
          <w:i/>
          <w:spacing w:val="11"/>
        </w:rPr>
        <w:t xml:space="preserve"> </w:t>
      </w:r>
      <w:r w:rsidR="00B3013B" w:rsidRPr="00320ADF">
        <w:rPr>
          <w:rFonts w:ascii="Times New Roman" w:hAnsi="Times New Roman" w:cs="Times New Roman"/>
          <w:i/>
          <w:spacing w:val="-1"/>
          <w:w w:val="109"/>
        </w:rPr>
        <w:t>o</w:t>
      </w:r>
      <w:r w:rsidR="00B3013B" w:rsidRPr="00320ADF">
        <w:rPr>
          <w:rFonts w:ascii="Times New Roman" w:hAnsi="Times New Roman" w:cs="Times New Roman"/>
          <w:i/>
          <w:w w:val="109"/>
        </w:rPr>
        <w:t>f</w:t>
      </w:r>
      <w:r w:rsidR="00B3013B" w:rsidRPr="00320ADF">
        <w:rPr>
          <w:rFonts w:ascii="Times New Roman" w:hAnsi="Times New Roman" w:cs="Times New Roman"/>
          <w:i/>
          <w:spacing w:val="12"/>
        </w:rPr>
        <w:t xml:space="preserve"> </w:t>
      </w:r>
      <w:r w:rsidR="00B3013B" w:rsidRPr="00320ADF">
        <w:rPr>
          <w:rFonts w:ascii="Times New Roman" w:hAnsi="Times New Roman" w:cs="Times New Roman"/>
          <w:i/>
          <w:spacing w:val="-1"/>
          <w:w w:val="103"/>
        </w:rPr>
        <w:t>Bowlin</w:t>
      </w:r>
      <w:r w:rsidR="00B3013B" w:rsidRPr="00320ADF">
        <w:rPr>
          <w:rFonts w:ascii="Times New Roman" w:hAnsi="Times New Roman" w:cs="Times New Roman"/>
          <w:i/>
          <w:w w:val="103"/>
        </w:rPr>
        <w:t>g</w:t>
      </w:r>
      <w:r w:rsidR="00B3013B" w:rsidRPr="00320ADF">
        <w:rPr>
          <w:rFonts w:ascii="Times New Roman" w:hAnsi="Times New Roman" w:cs="Times New Roman"/>
          <w:i/>
          <w:spacing w:val="12"/>
        </w:rPr>
        <w:t xml:space="preserve"> </w:t>
      </w:r>
      <w:r w:rsidR="00B3013B" w:rsidRPr="00320ADF">
        <w:rPr>
          <w:rFonts w:ascii="Times New Roman" w:hAnsi="Times New Roman" w:cs="Times New Roman"/>
          <w:i/>
          <w:spacing w:val="-1"/>
          <w:w w:val="101"/>
        </w:rPr>
        <w:t>Gree</w:t>
      </w:r>
      <w:r w:rsidR="00B3013B" w:rsidRPr="00320ADF">
        <w:rPr>
          <w:rFonts w:ascii="Times New Roman" w:hAnsi="Times New Roman" w:cs="Times New Roman"/>
          <w:i/>
          <w:spacing w:val="-2"/>
          <w:w w:val="101"/>
        </w:rPr>
        <w:t>n</w:t>
      </w:r>
      <w:r w:rsidR="00B3013B" w:rsidRPr="00320ADF">
        <w:rPr>
          <w:rFonts w:ascii="Times New Roman" w:hAnsi="Times New Roman" w:cs="Times New Roman"/>
          <w:spacing w:val="-3"/>
        </w:rPr>
        <w:t>,</w:t>
      </w:r>
      <w:r w:rsidR="00B3013B" w:rsidRPr="00320ADF">
        <w:rPr>
          <w:rFonts w:ascii="Times New Roman" w:hAnsi="Times New Roman" w:cs="Times New Roman"/>
          <w:w w:val="99"/>
          <w:position w:val="10"/>
        </w:rPr>
        <w:t xml:space="preserve"> </w:t>
      </w:r>
      <w:r w:rsidR="00B3013B" w:rsidRPr="00320ADF">
        <w:rPr>
          <w:rFonts w:ascii="Times New Roman" w:hAnsi="Times New Roman" w:cs="Times New Roman"/>
          <w:w w:val="105"/>
        </w:rPr>
        <w:t xml:space="preserve">the </w:t>
      </w:r>
      <w:r w:rsidR="002007E9" w:rsidRPr="00320ADF">
        <w:rPr>
          <w:rFonts w:ascii="Times New Roman" w:hAnsi="Times New Roman" w:cs="Times New Roman"/>
          <w:w w:val="105"/>
        </w:rPr>
        <w:t xml:space="preserve">Ohio </w:t>
      </w:r>
      <w:r w:rsidR="00B3013B" w:rsidRPr="00320ADF">
        <w:rPr>
          <w:rFonts w:ascii="Times New Roman" w:hAnsi="Times New Roman" w:cs="Times New Roman"/>
          <w:w w:val="105"/>
        </w:rPr>
        <w:t xml:space="preserve">Supreme Court </w:t>
      </w:r>
      <w:r w:rsidR="00463B6B" w:rsidRPr="00320ADF">
        <w:rPr>
          <w:rFonts w:ascii="Times New Roman" w:hAnsi="Times New Roman" w:cs="Times New Roman"/>
          <w:w w:val="105"/>
        </w:rPr>
        <w:t xml:space="preserve">found a </w:t>
      </w:r>
      <w:r w:rsidR="00B3013B" w:rsidRPr="00320ADF">
        <w:rPr>
          <w:rFonts w:ascii="Times New Roman" w:hAnsi="Times New Roman" w:cs="Times New Roman"/>
          <w:w w:val="105"/>
        </w:rPr>
        <w:t xml:space="preserve">municipality potentially liable under the PTD for a fish-kill </w:t>
      </w:r>
      <w:r w:rsidR="00604A3F" w:rsidRPr="00320ADF">
        <w:rPr>
          <w:rFonts w:ascii="Times New Roman" w:hAnsi="Times New Roman" w:cs="Times New Roman"/>
          <w:w w:val="105"/>
        </w:rPr>
        <w:t xml:space="preserve">caused by its </w:t>
      </w:r>
      <w:r w:rsidR="00B3013B" w:rsidRPr="00320ADF">
        <w:rPr>
          <w:rFonts w:ascii="Times New Roman" w:hAnsi="Times New Roman" w:cs="Times New Roman"/>
          <w:w w:val="105"/>
        </w:rPr>
        <w:t xml:space="preserve">negligent discharge </w:t>
      </w:r>
      <w:r w:rsidR="00604A3F" w:rsidRPr="00320ADF">
        <w:rPr>
          <w:rFonts w:ascii="Times New Roman" w:hAnsi="Times New Roman" w:cs="Times New Roman"/>
          <w:w w:val="105"/>
        </w:rPr>
        <w:t>of sewage</w:t>
      </w:r>
      <w:r w:rsidR="00463B6B" w:rsidRPr="00320ADF">
        <w:rPr>
          <w:rFonts w:ascii="Times New Roman" w:hAnsi="Times New Roman" w:cs="Times New Roman"/>
          <w:w w:val="105"/>
        </w:rPr>
        <w:t>,</w:t>
      </w:r>
      <w:r w:rsidR="00B3013B" w:rsidRPr="00320ADF">
        <w:rPr>
          <w:rFonts w:ascii="Times New Roman" w:hAnsi="Times New Roman" w:cs="Times New Roman"/>
          <w:spacing w:val="-6"/>
          <w:w w:val="105"/>
        </w:rPr>
        <w:t xml:space="preserve"> reason</w:t>
      </w:r>
      <w:r w:rsidR="00463B6B" w:rsidRPr="00320ADF">
        <w:rPr>
          <w:rFonts w:ascii="Times New Roman" w:hAnsi="Times New Roman" w:cs="Times New Roman"/>
          <w:spacing w:val="-6"/>
          <w:w w:val="105"/>
        </w:rPr>
        <w:t>ing</w:t>
      </w:r>
      <w:r w:rsidR="00B3013B" w:rsidRPr="00320ADF">
        <w:rPr>
          <w:rFonts w:ascii="Times New Roman" w:hAnsi="Times New Roman" w:cs="Times New Roman"/>
          <w:spacing w:val="-6"/>
          <w:w w:val="105"/>
        </w:rPr>
        <w:t>:</w:t>
      </w:r>
      <w:r w:rsidR="00B3013B" w:rsidRPr="00320ADF">
        <w:rPr>
          <w:rFonts w:ascii="Times New Roman" w:hAnsi="Times New Roman" w:cs="Times New Roman"/>
          <w:b/>
          <w:bCs/>
          <w:spacing w:val="-6"/>
          <w:w w:val="105"/>
        </w:rPr>
        <w:t xml:space="preserve"> </w:t>
      </w:r>
    </w:p>
    <w:p w:rsidR="00B3013B" w:rsidRDefault="00B3013B" w:rsidP="00CC6D90">
      <w:pPr>
        <w:spacing w:line="276" w:lineRule="auto"/>
        <w:ind w:left="720" w:right="960"/>
        <w:jc w:val="both"/>
        <w:rPr>
          <w:rFonts w:ascii="Times New Roman" w:hAnsi="Times New Roman" w:cs="Times New Roman"/>
          <w:color w:val="000000"/>
        </w:rPr>
      </w:pPr>
      <w:r w:rsidRPr="00320ADF">
        <w:rPr>
          <w:rFonts w:ascii="Times New Roman" w:hAnsi="Times New Roman" w:cs="Times New Roman"/>
          <w:color w:val="000000"/>
        </w:rPr>
        <w:t xml:space="preserve">An action against those whose conduct damages or destroys </w:t>
      </w:r>
      <w:r w:rsidR="00004272">
        <w:rPr>
          <w:rFonts w:ascii="Times New Roman" w:hAnsi="Times New Roman" w:cs="Times New Roman"/>
          <w:color w:val="000000"/>
        </w:rPr>
        <w:t>[trust]</w:t>
      </w:r>
      <w:r w:rsidR="00004272" w:rsidRPr="00320ADF">
        <w:rPr>
          <w:rFonts w:ascii="Times New Roman" w:hAnsi="Times New Roman" w:cs="Times New Roman"/>
          <w:color w:val="000000"/>
        </w:rPr>
        <w:t xml:space="preserve"> </w:t>
      </w:r>
      <w:r w:rsidRPr="00320ADF">
        <w:rPr>
          <w:rFonts w:ascii="Times New Roman" w:hAnsi="Times New Roman" w:cs="Times New Roman"/>
          <w:color w:val="000000"/>
        </w:rPr>
        <w:t>property, which is a natural resource of the public, must be considered an essential part of a trust doctrine, the vitality of which must be extended to meet the changing societal needs.</w:t>
      </w:r>
      <w:r w:rsidR="002D308A" w:rsidRPr="00320ADF">
        <w:rPr>
          <w:rStyle w:val="FootnoteReference"/>
          <w:rFonts w:ascii="Times New Roman" w:hAnsi="Times New Roman" w:cs="Times New Roman"/>
          <w:spacing w:val="-3"/>
        </w:rPr>
        <w:footnoteReference w:id="64"/>
      </w:r>
      <w:r w:rsidRPr="00320ADF">
        <w:rPr>
          <w:rFonts w:ascii="Times New Roman" w:hAnsi="Times New Roman" w:cs="Times New Roman"/>
          <w:color w:val="000000"/>
        </w:rPr>
        <w:t xml:space="preserve"> </w:t>
      </w:r>
    </w:p>
    <w:p w:rsidR="00CC6D90" w:rsidRPr="00320ADF" w:rsidRDefault="00CC6D90" w:rsidP="00CC6D90">
      <w:pPr>
        <w:spacing w:line="276" w:lineRule="auto"/>
        <w:ind w:left="720" w:right="960"/>
        <w:jc w:val="both"/>
        <w:rPr>
          <w:rFonts w:ascii="Times New Roman" w:hAnsi="Times New Roman" w:cs="Times New Roman"/>
          <w:color w:val="000000"/>
        </w:rPr>
      </w:pPr>
    </w:p>
    <w:p w:rsidR="00436B8F" w:rsidRDefault="00DD3528" w:rsidP="00362437">
      <w:pPr>
        <w:spacing w:line="480" w:lineRule="auto"/>
        <w:ind w:firstLine="720"/>
        <w:jc w:val="both"/>
        <w:rPr>
          <w:rFonts w:ascii="Times New Roman" w:eastAsia="Times New Roman" w:hAnsi="Times New Roman" w:cs="Times New Roman"/>
          <w:color w:val="000000"/>
        </w:rPr>
      </w:pPr>
      <w:r w:rsidRPr="00320ADF">
        <w:rPr>
          <w:rFonts w:ascii="Times New Roman" w:hAnsi="Times New Roman" w:cs="Times New Roman"/>
          <w:color w:val="000000"/>
        </w:rPr>
        <w:t xml:space="preserve">In the PCB </w:t>
      </w:r>
      <w:r w:rsidR="00004272">
        <w:rPr>
          <w:rFonts w:ascii="Times New Roman" w:hAnsi="Times New Roman" w:cs="Times New Roman"/>
          <w:color w:val="000000"/>
        </w:rPr>
        <w:t xml:space="preserve">litigation, at least one state has </w:t>
      </w:r>
      <w:r w:rsidRPr="00320ADF">
        <w:rPr>
          <w:rFonts w:ascii="Times New Roman" w:hAnsi="Times New Roman" w:cs="Times New Roman"/>
          <w:color w:val="000000"/>
        </w:rPr>
        <w:t xml:space="preserve">invoked the PTD </w:t>
      </w:r>
      <w:r w:rsidR="002E73A4">
        <w:rPr>
          <w:rFonts w:ascii="Times New Roman" w:hAnsi="Times New Roman" w:cs="Times New Roman"/>
          <w:color w:val="000000"/>
        </w:rPr>
        <w:t>as a stand-alone cause of action against Monsant</w:t>
      </w:r>
      <w:r w:rsidR="00004272">
        <w:rPr>
          <w:rFonts w:ascii="Times New Roman" w:hAnsi="Times New Roman" w:cs="Times New Roman"/>
          <w:color w:val="000000"/>
        </w:rPr>
        <w:t>o.  Ohio</w:t>
      </w:r>
      <w:r w:rsidR="00B67F91">
        <w:rPr>
          <w:rFonts w:ascii="Times New Roman" w:hAnsi="Times New Roman" w:cs="Times New Roman"/>
          <w:color w:val="000000"/>
        </w:rPr>
        <w:t xml:space="preserve">’s </w:t>
      </w:r>
      <w:r w:rsidRPr="00320ADF">
        <w:rPr>
          <w:rFonts w:ascii="Times New Roman" w:hAnsi="Times New Roman" w:cs="Times New Roman"/>
          <w:color w:val="000000"/>
        </w:rPr>
        <w:t>first cause of action</w:t>
      </w:r>
      <w:r w:rsidR="00B67F91">
        <w:rPr>
          <w:rFonts w:ascii="Times New Roman" w:hAnsi="Times New Roman" w:cs="Times New Roman"/>
          <w:color w:val="000000"/>
        </w:rPr>
        <w:t xml:space="preserve"> asserted</w:t>
      </w:r>
      <w:r w:rsidR="002E73A4">
        <w:rPr>
          <w:rFonts w:ascii="Times New Roman" w:hAnsi="Times New Roman" w:cs="Times New Roman"/>
          <w:color w:val="000000"/>
        </w:rPr>
        <w:t xml:space="preserve">, </w:t>
      </w:r>
      <w:r w:rsidRPr="00320ADF">
        <w:rPr>
          <w:rFonts w:ascii="Times New Roman" w:hAnsi="Times New Roman" w:cs="Times New Roman"/>
          <w:color w:val="000000"/>
        </w:rPr>
        <w:t>“</w:t>
      </w:r>
      <w:r w:rsidRPr="00320ADF">
        <w:rPr>
          <w:rFonts w:ascii="Times New Roman" w:eastAsia="Times New Roman" w:hAnsi="Times New Roman" w:cs="Times New Roman"/>
          <w:color w:val="000000"/>
        </w:rPr>
        <w:t>Ohio, in its capacity as trustee over its public natural resources, has suffered and continues to suffer monetary losses in amounts to be proven at trial.”</w:t>
      </w:r>
      <w:r w:rsidR="009E44E8" w:rsidRPr="00320ADF">
        <w:rPr>
          <w:rStyle w:val="FootnoteReference"/>
          <w:rFonts w:ascii="Times New Roman" w:eastAsia="Times New Roman" w:hAnsi="Times New Roman" w:cs="Times New Roman"/>
          <w:color w:val="000000"/>
        </w:rPr>
        <w:footnoteReference w:id="65"/>
      </w:r>
      <w:r w:rsidRPr="00320ADF">
        <w:rPr>
          <w:rFonts w:ascii="Times New Roman" w:eastAsia="Times New Roman" w:hAnsi="Times New Roman" w:cs="Times New Roman"/>
          <w:color w:val="000000"/>
        </w:rPr>
        <w:t xml:space="preserve"> </w:t>
      </w:r>
      <w:r w:rsidR="002D308A">
        <w:rPr>
          <w:rFonts w:ascii="Times New Roman" w:eastAsia="Times New Roman" w:hAnsi="Times New Roman" w:cs="Times New Roman"/>
          <w:color w:val="000000"/>
        </w:rPr>
        <w:t xml:space="preserve"> </w:t>
      </w:r>
      <w:r w:rsidR="002E73A4">
        <w:rPr>
          <w:rFonts w:ascii="Times New Roman" w:eastAsia="Times New Roman" w:hAnsi="Times New Roman" w:cs="Times New Roman"/>
          <w:color w:val="000000"/>
        </w:rPr>
        <w:t xml:space="preserve">Monsanto filed a motion to </w:t>
      </w:r>
      <w:r w:rsidR="002E73A4" w:rsidRPr="00867CAC">
        <w:rPr>
          <w:rFonts w:ascii="Times New Roman" w:eastAsia="Times New Roman" w:hAnsi="Times New Roman" w:cs="Times New Roman"/>
          <w:color w:val="000000"/>
        </w:rPr>
        <w:t>dismiss claiming that the PTD could not form the basis of a stand-alone claim.  Denying the motion</w:t>
      </w:r>
      <w:r w:rsidR="00D012CF" w:rsidRPr="00867CAC">
        <w:rPr>
          <w:rFonts w:ascii="Times New Roman" w:eastAsia="Times New Roman" w:hAnsi="Times New Roman" w:cs="Times New Roman"/>
          <w:color w:val="000000"/>
        </w:rPr>
        <w:t xml:space="preserve"> and deferring the final decision for a later time</w:t>
      </w:r>
      <w:r w:rsidR="002E73A4" w:rsidRPr="00867CAC">
        <w:rPr>
          <w:rFonts w:ascii="Times New Roman" w:eastAsia="Times New Roman" w:hAnsi="Times New Roman" w:cs="Times New Roman"/>
          <w:color w:val="000000"/>
        </w:rPr>
        <w:t>, the court said, “</w:t>
      </w:r>
      <w:r w:rsidR="002E73A4" w:rsidRPr="00867CAC">
        <w:rPr>
          <w:rFonts w:ascii="Times New Roman" w:hAnsi="Times New Roman" w:cs="Times New Roman"/>
          <w:w w:val="105"/>
        </w:rPr>
        <w:t>The public trust</w:t>
      </w:r>
      <w:r w:rsidR="002E73A4" w:rsidRPr="00867CAC">
        <w:rPr>
          <w:rFonts w:ascii="Times New Roman" w:hAnsi="Times New Roman" w:cs="Times New Roman"/>
          <w:spacing w:val="60"/>
          <w:w w:val="105"/>
        </w:rPr>
        <w:t xml:space="preserve"> </w:t>
      </w:r>
      <w:r w:rsidR="002E73A4" w:rsidRPr="00867CAC">
        <w:rPr>
          <w:rFonts w:ascii="Times New Roman" w:hAnsi="Times New Roman" w:cs="Times New Roman"/>
          <w:w w:val="105"/>
        </w:rPr>
        <w:t>doctrine, however, may yet prove to stand as its own cause of action as society's needs change.</w:t>
      </w:r>
      <w:r w:rsidR="002D308A">
        <w:rPr>
          <w:rFonts w:ascii="Times New Roman" w:hAnsi="Times New Roman" w:cs="Times New Roman"/>
          <w:w w:val="105"/>
        </w:rPr>
        <w:t>”</w:t>
      </w:r>
      <w:r w:rsidR="00D012CF" w:rsidRPr="00867CAC">
        <w:rPr>
          <w:rStyle w:val="FootnoteReference"/>
          <w:rFonts w:ascii="Times New Roman" w:hAnsi="Times New Roman" w:cs="Times New Roman"/>
          <w:w w:val="105"/>
        </w:rPr>
        <w:footnoteReference w:id="66"/>
      </w:r>
      <w:r w:rsidRPr="00867CAC">
        <w:rPr>
          <w:rFonts w:ascii="Times New Roman" w:eastAsia="Times New Roman" w:hAnsi="Times New Roman" w:cs="Times New Roman"/>
          <w:color w:val="000000"/>
        </w:rPr>
        <w:t xml:space="preserve"> </w:t>
      </w:r>
      <w:r w:rsidR="00B67F91">
        <w:rPr>
          <w:rFonts w:ascii="Times New Roman" w:eastAsia="Times New Roman" w:hAnsi="Times New Roman" w:cs="Times New Roman"/>
          <w:color w:val="000000"/>
        </w:rPr>
        <w:t xml:space="preserve">  </w:t>
      </w:r>
    </w:p>
    <w:p w:rsidR="00436B8F" w:rsidRDefault="00436B8F" w:rsidP="00943F08">
      <w:pPr>
        <w:spacing w:line="480" w:lineRule="auto"/>
        <w:ind w:firstLine="720"/>
        <w:rPr>
          <w:rFonts w:ascii="Times New Roman" w:eastAsia="Times New Roman" w:hAnsi="Times New Roman" w:cs="Times New Roman"/>
          <w:color w:val="000000"/>
          <w:spacing w:val="-6"/>
        </w:rPr>
      </w:pPr>
      <w:r>
        <w:rPr>
          <w:rFonts w:ascii="Times New Roman" w:eastAsia="Times New Roman" w:hAnsi="Times New Roman" w:cs="Times New Roman"/>
          <w:color w:val="000000"/>
        </w:rPr>
        <w:t xml:space="preserve">In MTBE </w:t>
      </w:r>
      <w:r w:rsidR="00B67F91">
        <w:rPr>
          <w:rFonts w:ascii="Times New Roman" w:eastAsia="Times New Roman" w:hAnsi="Times New Roman" w:cs="Times New Roman"/>
          <w:color w:val="000000"/>
        </w:rPr>
        <w:t>litigation</w:t>
      </w:r>
      <w:r w:rsidR="0000239C">
        <w:rPr>
          <w:rFonts w:ascii="Times New Roman" w:eastAsia="Times New Roman" w:hAnsi="Times New Roman" w:cs="Times New Roman"/>
          <w:color w:val="000000"/>
        </w:rPr>
        <w:t>, the</w:t>
      </w:r>
      <w:r w:rsidR="00B67F9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State of Rhode Island </w:t>
      </w:r>
      <w:r w:rsidR="0000239C">
        <w:rPr>
          <w:rFonts w:ascii="Times New Roman" w:eastAsia="Times New Roman" w:hAnsi="Times New Roman" w:cs="Times New Roman"/>
          <w:color w:val="000000"/>
        </w:rPr>
        <w:t xml:space="preserve">case against </w:t>
      </w:r>
      <w:r>
        <w:rPr>
          <w:rFonts w:ascii="Times New Roman" w:eastAsia="Times New Roman" w:hAnsi="Times New Roman" w:cs="Times New Roman"/>
          <w:color w:val="000000"/>
        </w:rPr>
        <w:t>industry defendants included a stand-alone public trust claim</w:t>
      </w:r>
      <w:r w:rsidR="00002DF4">
        <w:rPr>
          <w:rFonts w:ascii="Times New Roman" w:eastAsia="Times New Roman" w:hAnsi="Times New Roman" w:cs="Times New Roman"/>
          <w:color w:val="000000"/>
        </w:rPr>
        <w:t xml:space="preserve"> asserting “impairment of public trust natural </w:t>
      </w:r>
      <w:r w:rsidR="00002DF4" w:rsidRPr="00A56C55">
        <w:rPr>
          <w:rFonts w:ascii="Times New Roman" w:eastAsia="Times New Roman" w:hAnsi="Times New Roman" w:cs="Times New Roman"/>
          <w:color w:val="000000"/>
        </w:rPr>
        <w:t>resources.”  While</w:t>
      </w:r>
      <w:r w:rsidRPr="00A56C55">
        <w:rPr>
          <w:rFonts w:ascii="Times New Roman" w:eastAsia="Times New Roman" w:hAnsi="Times New Roman" w:cs="Times New Roman"/>
          <w:color w:val="000000"/>
        </w:rPr>
        <w:t xml:space="preserve"> </w:t>
      </w:r>
      <w:r w:rsidR="00C7062C">
        <w:rPr>
          <w:rFonts w:ascii="Times New Roman" w:eastAsia="Times New Roman" w:hAnsi="Times New Roman" w:cs="Times New Roman"/>
          <w:color w:val="000000"/>
        </w:rPr>
        <w:t xml:space="preserve">the </w:t>
      </w:r>
      <w:r w:rsidR="00C7062C">
        <w:rPr>
          <w:rFonts w:ascii="Times New Roman" w:eastAsia="Times New Roman" w:hAnsi="Times New Roman" w:cs="Times New Roman"/>
          <w:color w:val="000000"/>
        </w:rPr>
        <w:lastRenderedPageBreak/>
        <w:t xml:space="preserve">claim was </w:t>
      </w:r>
      <w:r w:rsidRPr="00A56C55">
        <w:rPr>
          <w:rFonts w:ascii="Times New Roman" w:eastAsia="Times New Roman" w:hAnsi="Times New Roman" w:cs="Times New Roman"/>
          <w:color w:val="000000"/>
        </w:rPr>
        <w:t>dismissed</w:t>
      </w:r>
      <w:r w:rsidR="00002DF4" w:rsidRPr="00A56C55">
        <w:rPr>
          <w:rFonts w:ascii="Times New Roman" w:eastAsia="Times New Roman" w:hAnsi="Times New Roman" w:cs="Times New Roman"/>
          <w:color w:val="000000"/>
          <w:spacing w:val="-6"/>
        </w:rPr>
        <w:t>,</w:t>
      </w:r>
      <w:r w:rsidRPr="00A56C55">
        <w:rPr>
          <w:rFonts w:ascii="Times New Roman" w:eastAsia="Times New Roman" w:hAnsi="Times New Roman" w:cs="Times New Roman"/>
          <w:color w:val="000000"/>
          <w:spacing w:val="-6"/>
        </w:rPr>
        <w:t xml:space="preserve"> the </w:t>
      </w:r>
      <w:r w:rsidR="0000239C">
        <w:rPr>
          <w:rFonts w:ascii="Times New Roman" w:eastAsia="Times New Roman" w:hAnsi="Times New Roman" w:cs="Times New Roman"/>
          <w:color w:val="000000"/>
          <w:spacing w:val="-6"/>
        </w:rPr>
        <w:t xml:space="preserve">federal </w:t>
      </w:r>
      <w:r w:rsidRPr="00A56C55">
        <w:rPr>
          <w:rFonts w:ascii="Times New Roman" w:eastAsia="Times New Roman" w:hAnsi="Times New Roman" w:cs="Times New Roman"/>
          <w:color w:val="000000"/>
          <w:spacing w:val="-6"/>
        </w:rPr>
        <w:t xml:space="preserve">court </w:t>
      </w:r>
      <w:r w:rsidR="00002DF4" w:rsidRPr="00A56C55">
        <w:rPr>
          <w:rFonts w:ascii="Times New Roman" w:eastAsia="Times New Roman" w:hAnsi="Times New Roman" w:cs="Times New Roman"/>
          <w:color w:val="000000"/>
          <w:spacing w:val="-6"/>
        </w:rPr>
        <w:t xml:space="preserve">seemingly </w:t>
      </w:r>
      <w:r w:rsidRPr="00A56C55">
        <w:rPr>
          <w:rFonts w:ascii="Times New Roman" w:eastAsia="Times New Roman" w:hAnsi="Times New Roman" w:cs="Times New Roman"/>
          <w:color w:val="000000"/>
          <w:spacing w:val="-6"/>
        </w:rPr>
        <w:t>did not question the state’s ability to assert such a claim</w:t>
      </w:r>
      <w:r w:rsidR="0000239C">
        <w:rPr>
          <w:rFonts w:ascii="Times New Roman" w:eastAsia="Times New Roman" w:hAnsi="Times New Roman" w:cs="Times New Roman"/>
          <w:color w:val="000000"/>
          <w:spacing w:val="-6"/>
        </w:rPr>
        <w:t xml:space="preserve"> but r</w:t>
      </w:r>
      <w:r w:rsidR="00002DF4" w:rsidRPr="00A56C55">
        <w:rPr>
          <w:rFonts w:ascii="Times New Roman" w:eastAsia="Times New Roman" w:hAnsi="Times New Roman" w:cs="Times New Roman"/>
          <w:color w:val="000000"/>
          <w:spacing w:val="-6"/>
        </w:rPr>
        <w:t>ather</w:t>
      </w:r>
      <w:r w:rsidR="00435762">
        <w:rPr>
          <w:rFonts w:ascii="Times New Roman" w:eastAsia="Times New Roman" w:hAnsi="Times New Roman" w:cs="Times New Roman"/>
          <w:color w:val="000000"/>
          <w:spacing w:val="-6"/>
        </w:rPr>
        <w:t xml:space="preserve"> </w:t>
      </w:r>
      <w:r w:rsidRPr="00A56C55">
        <w:rPr>
          <w:rFonts w:ascii="Times New Roman" w:eastAsia="Times New Roman" w:hAnsi="Times New Roman" w:cs="Times New Roman"/>
          <w:color w:val="000000"/>
          <w:spacing w:val="-6"/>
        </w:rPr>
        <w:t xml:space="preserve">found that </w:t>
      </w:r>
      <w:r w:rsidR="00D13D84">
        <w:rPr>
          <w:rFonts w:ascii="Times New Roman" w:eastAsia="Times New Roman" w:hAnsi="Times New Roman" w:cs="Times New Roman"/>
          <w:color w:val="000000"/>
          <w:spacing w:val="-6"/>
        </w:rPr>
        <w:t>public trust law</w:t>
      </w:r>
      <w:r w:rsidR="00435762">
        <w:rPr>
          <w:rFonts w:ascii="Times New Roman" w:eastAsia="Times New Roman" w:hAnsi="Times New Roman" w:cs="Times New Roman"/>
          <w:color w:val="000000"/>
          <w:spacing w:val="-6"/>
        </w:rPr>
        <w:t xml:space="preserve"> of the state</w:t>
      </w:r>
      <w:r w:rsidR="00D13D84">
        <w:rPr>
          <w:rFonts w:ascii="Times New Roman" w:eastAsia="Times New Roman" w:hAnsi="Times New Roman" w:cs="Times New Roman"/>
          <w:color w:val="000000"/>
          <w:spacing w:val="-6"/>
        </w:rPr>
        <w:t xml:space="preserve"> </w:t>
      </w:r>
      <w:r w:rsidR="00D13D84" w:rsidRPr="00A56C55">
        <w:rPr>
          <w:rFonts w:ascii="Times New Roman" w:eastAsia="Times New Roman" w:hAnsi="Times New Roman" w:cs="Times New Roman"/>
          <w:color w:val="000000"/>
          <w:spacing w:val="-6"/>
        </w:rPr>
        <w:t xml:space="preserve">had not yet </w:t>
      </w:r>
      <w:r w:rsidR="00D13D84">
        <w:rPr>
          <w:rFonts w:ascii="Times New Roman" w:eastAsia="Times New Roman" w:hAnsi="Times New Roman" w:cs="Times New Roman"/>
          <w:color w:val="000000"/>
          <w:spacing w:val="-6"/>
        </w:rPr>
        <w:t xml:space="preserve">been </w:t>
      </w:r>
      <w:r w:rsidR="00D13D84" w:rsidRPr="00A56C55">
        <w:rPr>
          <w:rFonts w:ascii="Times New Roman" w:eastAsia="Times New Roman" w:hAnsi="Times New Roman" w:cs="Times New Roman"/>
          <w:color w:val="000000"/>
          <w:spacing w:val="-6"/>
        </w:rPr>
        <w:t>extended to groundwater</w:t>
      </w:r>
      <w:r w:rsidRPr="00A56C55">
        <w:rPr>
          <w:rFonts w:ascii="Times New Roman" w:eastAsia="Times New Roman" w:hAnsi="Times New Roman" w:cs="Times New Roman"/>
          <w:color w:val="000000"/>
          <w:spacing w:val="-6"/>
        </w:rPr>
        <w:t>.</w:t>
      </w:r>
      <w:r w:rsidR="00002DF4" w:rsidRPr="00A56C55">
        <w:rPr>
          <w:rStyle w:val="FootnoteReference"/>
          <w:rFonts w:ascii="Times New Roman" w:eastAsia="Times New Roman" w:hAnsi="Times New Roman" w:cs="Times New Roman"/>
          <w:color w:val="000000"/>
          <w:spacing w:val="-6"/>
        </w:rPr>
        <w:footnoteReference w:id="67"/>
      </w:r>
      <w:r w:rsidRPr="00A56C55">
        <w:rPr>
          <w:rFonts w:ascii="Times New Roman" w:eastAsia="Times New Roman" w:hAnsi="Times New Roman" w:cs="Times New Roman"/>
          <w:color w:val="000000"/>
          <w:spacing w:val="-6"/>
        </w:rPr>
        <w:t xml:space="preserve"> </w:t>
      </w:r>
      <w:r w:rsidR="00B74521">
        <w:rPr>
          <w:rFonts w:ascii="Times New Roman" w:eastAsia="Times New Roman" w:hAnsi="Times New Roman" w:cs="Times New Roman"/>
          <w:color w:val="000000"/>
          <w:spacing w:val="-6"/>
        </w:rPr>
        <w:t xml:space="preserve"> </w:t>
      </w:r>
      <w:r w:rsidRPr="00A56C55">
        <w:rPr>
          <w:rFonts w:ascii="Times New Roman" w:eastAsia="Times New Roman" w:hAnsi="Times New Roman" w:cs="Times New Roman"/>
          <w:color w:val="000000"/>
          <w:spacing w:val="-6"/>
        </w:rPr>
        <w:t>The court left open the possibility that the state could extend the PTD to include groundwater in the future through legislation or decisional law.</w:t>
      </w:r>
      <w:r w:rsidR="004A24DA">
        <w:rPr>
          <w:rFonts w:ascii="Times New Roman" w:eastAsia="Times New Roman" w:hAnsi="Times New Roman" w:cs="Times New Roman"/>
          <w:color w:val="000000"/>
          <w:spacing w:val="-6"/>
        </w:rPr>
        <w:t xml:space="preserve">  Moreover, </w:t>
      </w:r>
      <w:r w:rsidR="00B34508">
        <w:rPr>
          <w:rFonts w:ascii="Times New Roman" w:eastAsia="Times New Roman" w:hAnsi="Times New Roman" w:cs="Times New Roman"/>
          <w:color w:val="000000"/>
          <w:spacing w:val="-6"/>
        </w:rPr>
        <w:t>the court</w:t>
      </w:r>
      <w:r w:rsidR="004A24DA">
        <w:rPr>
          <w:rFonts w:ascii="Times New Roman" w:eastAsia="Times New Roman" w:hAnsi="Times New Roman" w:cs="Times New Roman"/>
          <w:color w:val="000000"/>
          <w:spacing w:val="-6"/>
        </w:rPr>
        <w:t xml:space="preserve"> allowed other claims to go forward, including a trespass claim that was premised largely on the state’s </w:t>
      </w:r>
      <w:proofErr w:type="spellStart"/>
      <w:r w:rsidR="004A24DA" w:rsidRPr="004A24DA">
        <w:rPr>
          <w:rFonts w:ascii="Times New Roman" w:eastAsia="Times New Roman" w:hAnsi="Times New Roman" w:cs="Times New Roman"/>
          <w:i/>
          <w:iCs/>
          <w:color w:val="000000"/>
          <w:spacing w:val="-6"/>
        </w:rPr>
        <w:t>parens</w:t>
      </w:r>
      <w:proofErr w:type="spellEnd"/>
      <w:r w:rsidR="004A24DA" w:rsidRPr="004A24DA">
        <w:rPr>
          <w:rFonts w:ascii="Times New Roman" w:eastAsia="Times New Roman" w:hAnsi="Times New Roman" w:cs="Times New Roman"/>
          <w:i/>
          <w:iCs/>
          <w:color w:val="000000"/>
          <w:spacing w:val="-6"/>
        </w:rPr>
        <w:t xml:space="preserve"> patriae</w:t>
      </w:r>
      <w:r w:rsidR="004A24DA">
        <w:rPr>
          <w:rFonts w:ascii="Times New Roman" w:eastAsia="Times New Roman" w:hAnsi="Times New Roman" w:cs="Times New Roman"/>
          <w:color w:val="000000"/>
          <w:spacing w:val="-6"/>
        </w:rPr>
        <w:t xml:space="preserve"> interest</w:t>
      </w:r>
      <w:r w:rsidR="002B286E">
        <w:rPr>
          <w:rFonts w:ascii="Times New Roman" w:eastAsia="Times New Roman" w:hAnsi="Times New Roman" w:cs="Times New Roman"/>
          <w:color w:val="000000"/>
          <w:spacing w:val="-6"/>
        </w:rPr>
        <w:t xml:space="preserve"> (closely related to the public trust)</w:t>
      </w:r>
      <w:r w:rsidR="004A24DA">
        <w:rPr>
          <w:rFonts w:ascii="Times New Roman" w:eastAsia="Times New Roman" w:hAnsi="Times New Roman" w:cs="Times New Roman"/>
          <w:color w:val="000000"/>
          <w:spacing w:val="-6"/>
        </w:rPr>
        <w:t xml:space="preserve"> in its natural resources</w:t>
      </w:r>
      <w:r w:rsidR="002167D0">
        <w:rPr>
          <w:rFonts w:ascii="Times New Roman" w:eastAsia="Times New Roman" w:hAnsi="Times New Roman" w:cs="Times New Roman"/>
          <w:color w:val="000000"/>
          <w:spacing w:val="-6"/>
        </w:rPr>
        <w:t>.</w:t>
      </w:r>
      <w:r w:rsidR="004A24DA">
        <w:rPr>
          <w:rStyle w:val="FootnoteReference"/>
          <w:rFonts w:ascii="Times New Roman" w:eastAsia="Times New Roman" w:hAnsi="Times New Roman" w:cs="Times New Roman"/>
          <w:color w:val="000000"/>
          <w:spacing w:val="-6"/>
        </w:rPr>
        <w:footnoteReference w:id="68"/>
      </w:r>
      <w:r w:rsidR="00F45214">
        <w:rPr>
          <w:rFonts w:ascii="Times New Roman" w:eastAsia="Times New Roman" w:hAnsi="Times New Roman" w:cs="Times New Roman"/>
          <w:color w:val="000000"/>
          <w:spacing w:val="-6"/>
        </w:rPr>
        <w:t xml:space="preserve">  In another MTBE case,  the Supreme Court of New Hampshire clearly indicated the viability of a </w:t>
      </w:r>
      <w:r w:rsidR="002B286E">
        <w:rPr>
          <w:rFonts w:ascii="Times New Roman" w:eastAsia="Times New Roman" w:hAnsi="Times New Roman" w:cs="Times New Roman"/>
          <w:color w:val="000000"/>
          <w:spacing w:val="-6"/>
        </w:rPr>
        <w:t xml:space="preserve">public trust </w:t>
      </w:r>
      <w:r w:rsidR="00F45214">
        <w:rPr>
          <w:rFonts w:ascii="Times New Roman" w:eastAsia="Times New Roman" w:hAnsi="Times New Roman" w:cs="Times New Roman"/>
          <w:color w:val="000000"/>
          <w:spacing w:val="-6"/>
        </w:rPr>
        <w:t>claim</w:t>
      </w:r>
      <w:r w:rsidR="002B286E">
        <w:rPr>
          <w:rFonts w:ascii="Times New Roman" w:eastAsia="Times New Roman" w:hAnsi="Times New Roman" w:cs="Times New Roman"/>
          <w:color w:val="000000"/>
          <w:spacing w:val="-6"/>
        </w:rPr>
        <w:t xml:space="preserve"> (thought the state plaintiff did not fas</w:t>
      </w:r>
      <w:r w:rsidR="00FD68B3">
        <w:rPr>
          <w:rFonts w:ascii="Times New Roman" w:eastAsia="Times New Roman" w:hAnsi="Times New Roman" w:cs="Times New Roman"/>
          <w:color w:val="000000"/>
          <w:spacing w:val="-6"/>
        </w:rPr>
        <w:t>h</w:t>
      </w:r>
      <w:r w:rsidR="002B286E">
        <w:rPr>
          <w:rFonts w:ascii="Times New Roman" w:eastAsia="Times New Roman" w:hAnsi="Times New Roman" w:cs="Times New Roman"/>
          <w:color w:val="000000"/>
          <w:spacing w:val="-6"/>
        </w:rPr>
        <w:t>ion one)</w:t>
      </w:r>
      <w:r w:rsidR="00F45214">
        <w:rPr>
          <w:rFonts w:ascii="Times New Roman" w:eastAsia="Times New Roman" w:hAnsi="Times New Roman" w:cs="Times New Roman"/>
          <w:color w:val="000000"/>
          <w:spacing w:val="-6"/>
        </w:rPr>
        <w:t>, in the context of groundwater contamination, stating:</w:t>
      </w:r>
    </w:p>
    <w:p w:rsidR="00EF5967" w:rsidRPr="00401159" w:rsidRDefault="006A28E2" w:rsidP="00E54667">
      <w:pPr>
        <w:spacing w:line="360" w:lineRule="auto"/>
        <w:ind w:left="720"/>
        <w:rPr>
          <w:rFonts w:ascii="Times New Roman" w:hAnsi="Times New Roman" w:cs="Times New Roman"/>
          <w:w w:val="105"/>
        </w:rPr>
      </w:pPr>
      <w:r w:rsidRPr="00401159">
        <w:rPr>
          <w:rFonts w:ascii="Times New Roman" w:eastAsia="Times New Roman" w:hAnsi="Times New Roman" w:cs="Times New Roman"/>
          <w:color w:val="000000" w:themeColor="text1"/>
        </w:rPr>
        <w:t xml:space="preserve">The doctrine allows a state attorney general, as trustee, to bring a cause of action for damages to natural resources held in trust by the State. To bring a successful claim, the State must prove an unreasonable interference with the use and enjoyment of trust rights. </w:t>
      </w:r>
      <w:r w:rsidRPr="00401159">
        <w:rPr>
          <w:rFonts w:ascii="Times New Roman" w:eastAsia="Times New Roman" w:hAnsi="Times New Roman" w:cs="Times New Roman"/>
          <w:i/>
          <w:iCs/>
          <w:color w:val="000000" w:themeColor="text1"/>
        </w:rPr>
        <w:t xml:space="preserve">. . . </w:t>
      </w:r>
      <w:r w:rsidR="00EF5967" w:rsidRPr="006A28E2">
        <w:rPr>
          <w:rFonts w:ascii="Times New Roman" w:eastAsia="Times New Roman" w:hAnsi="Times New Roman" w:cs="Times New Roman"/>
          <w:color w:val="000000"/>
          <w:spacing w:val="-6"/>
        </w:rPr>
        <w:t>[T]he public trust doctrine is its own cause of action. . . .</w:t>
      </w:r>
      <w:r w:rsidRPr="006A28E2">
        <w:rPr>
          <w:rFonts w:ascii="Times New Roman" w:eastAsia="Times New Roman" w:hAnsi="Times New Roman" w:cs="Times New Roman"/>
          <w:color w:val="000000"/>
          <w:spacing w:val="-6"/>
        </w:rPr>
        <w:t xml:space="preserve"> </w:t>
      </w:r>
      <w:r w:rsidR="00EF5967" w:rsidRPr="006A28E2">
        <w:rPr>
          <w:rStyle w:val="FootnoteReference"/>
          <w:rFonts w:ascii="Times New Roman" w:eastAsia="Times New Roman" w:hAnsi="Times New Roman" w:cs="Times New Roman"/>
          <w:color w:val="000000"/>
          <w:spacing w:val="-6"/>
        </w:rPr>
        <w:footnoteReference w:id="69"/>
      </w:r>
    </w:p>
    <w:p w:rsidR="00436B8F" w:rsidRDefault="00320ADF" w:rsidP="00E54667">
      <w:pPr>
        <w:spacing w:before="100" w:beforeAutospacing="1" w:line="480" w:lineRule="auto"/>
        <w:ind w:firstLine="720"/>
        <w:jc w:val="both"/>
        <w:rPr>
          <w:rFonts w:ascii="Times New Roman" w:hAnsi="Times New Roman" w:cs="Times New Roman"/>
          <w:b/>
          <w:bCs/>
        </w:rPr>
      </w:pPr>
      <w:r w:rsidRPr="00867CAC">
        <w:rPr>
          <w:rFonts w:ascii="Times New Roman" w:eastAsia="Times New Roman" w:hAnsi="Times New Roman" w:cs="Times New Roman"/>
          <w:color w:val="000000"/>
        </w:rPr>
        <w:t>O</w:t>
      </w:r>
      <w:r w:rsidR="00883174">
        <w:rPr>
          <w:rFonts w:ascii="Times New Roman" w:eastAsia="Times New Roman" w:hAnsi="Times New Roman" w:cs="Times New Roman"/>
          <w:color w:val="000000"/>
        </w:rPr>
        <w:t>f</w:t>
      </w:r>
      <w:r w:rsidRPr="00867CAC">
        <w:rPr>
          <w:rFonts w:ascii="Times New Roman" w:eastAsia="Times New Roman" w:hAnsi="Times New Roman" w:cs="Times New Roman"/>
          <w:color w:val="000000"/>
        </w:rPr>
        <w:t xml:space="preserve"> the</w:t>
      </w:r>
      <w:r>
        <w:rPr>
          <w:rFonts w:ascii="Times New Roman" w:eastAsia="Times New Roman" w:hAnsi="Times New Roman" w:cs="Times New Roman"/>
          <w:color w:val="000000"/>
        </w:rPr>
        <w:t xml:space="preserve"> second-generation climate cases,</w:t>
      </w:r>
      <w:r w:rsidR="00A56C55">
        <w:rPr>
          <w:rFonts w:ascii="Times New Roman" w:eastAsia="Times New Roman" w:hAnsi="Times New Roman" w:cs="Times New Roman"/>
          <w:color w:val="000000"/>
        </w:rPr>
        <w:t xml:space="preserve"> </w:t>
      </w:r>
      <w:r w:rsidR="00883174">
        <w:rPr>
          <w:rFonts w:ascii="Times New Roman" w:eastAsia="Times New Roman" w:hAnsi="Times New Roman" w:cs="Times New Roman"/>
          <w:color w:val="000000"/>
        </w:rPr>
        <w:t xml:space="preserve">one </w:t>
      </w:r>
      <w:r>
        <w:rPr>
          <w:rFonts w:ascii="Times New Roman" w:eastAsia="Times New Roman" w:hAnsi="Times New Roman" w:cs="Times New Roman"/>
          <w:color w:val="000000"/>
        </w:rPr>
        <w:t>brought by Rhode Island</w:t>
      </w:r>
      <w:r w:rsidR="00883174">
        <w:rPr>
          <w:rFonts w:ascii="Times New Roman" w:eastAsia="Times New Roman" w:hAnsi="Times New Roman" w:cs="Times New Roman"/>
          <w:color w:val="000000"/>
        </w:rPr>
        <w:t xml:space="preserve"> i</w:t>
      </w:r>
      <w:r w:rsidR="00A56C55">
        <w:rPr>
          <w:rFonts w:ascii="Times New Roman" w:eastAsia="Times New Roman" w:hAnsi="Times New Roman" w:cs="Times New Roman"/>
          <w:color w:val="000000"/>
        </w:rPr>
        <w:t>ncluded a stand-alone</w:t>
      </w:r>
      <w:r>
        <w:rPr>
          <w:rFonts w:ascii="Times New Roman" w:eastAsia="Times New Roman" w:hAnsi="Times New Roman" w:cs="Times New Roman"/>
          <w:color w:val="000000"/>
        </w:rPr>
        <w:t xml:space="preserve"> public trust claim</w:t>
      </w:r>
      <w:r w:rsidR="00362437">
        <w:rPr>
          <w:rFonts w:ascii="Times New Roman" w:eastAsia="Times New Roman" w:hAnsi="Times New Roman" w:cs="Times New Roman"/>
          <w:color w:val="000000"/>
        </w:rPr>
        <w:t xml:space="preserve"> premised on the state’s constitution</w:t>
      </w:r>
      <w:r>
        <w:rPr>
          <w:rFonts w:ascii="Times New Roman" w:eastAsia="Times New Roman" w:hAnsi="Times New Roman" w:cs="Times New Roman"/>
          <w:color w:val="000000"/>
        </w:rPr>
        <w:t>,</w:t>
      </w:r>
      <w:r w:rsidR="00124B1A">
        <w:rPr>
          <w:rFonts w:ascii="Times New Roman" w:eastAsia="Times New Roman" w:hAnsi="Times New Roman" w:cs="Times New Roman"/>
          <w:color w:val="000000"/>
        </w:rPr>
        <w:t xml:space="preserve"> </w:t>
      </w:r>
      <w:r w:rsidR="00D374B9">
        <w:rPr>
          <w:rFonts w:ascii="Times New Roman" w:eastAsia="Times New Roman" w:hAnsi="Times New Roman" w:cs="Times New Roman"/>
          <w:color w:val="000000"/>
        </w:rPr>
        <w:t>asserting damages necessary to “restore injuries to public trust resources</w:t>
      </w:r>
      <w:r w:rsidR="00883174">
        <w:rPr>
          <w:rFonts w:ascii="Times New Roman" w:eastAsia="Times New Roman" w:hAnsi="Times New Roman" w:cs="Times New Roman"/>
          <w:color w:val="000000"/>
        </w:rPr>
        <w:t>.</w:t>
      </w:r>
      <w:r w:rsidR="00E834C8">
        <w:rPr>
          <w:rFonts w:ascii="Times New Roman" w:eastAsia="Times New Roman" w:hAnsi="Times New Roman" w:cs="Times New Roman"/>
          <w:color w:val="000000"/>
        </w:rPr>
        <w:t>”</w:t>
      </w:r>
      <w:r w:rsidR="00E834C8">
        <w:rPr>
          <w:rStyle w:val="FootnoteReference"/>
          <w:rFonts w:ascii="Times New Roman" w:eastAsia="Times New Roman" w:hAnsi="Times New Roman" w:cs="Times New Roman"/>
          <w:color w:val="000000"/>
        </w:rPr>
        <w:footnoteReference w:id="70"/>
      </w:r>
      <w:r w:rsidR="00D374B9">
        <w:rPr>
          <w:rFonts w:ascii="Times New Roman" w:eastAsia="Times New Roman" w:hAnsi="Times New Roman" w:cs="Times New Roman"/>
          <w:color w:val="000000"/>
        </w:rPr>
        <w:t xml:space="preserve"> </w:t>
      </w:r>
      <w:r w:rsidR="00C3654D">
        <w:rPr>
          <w:rFonts w:ascii="Times New Roman" w:eastAsia="Times New Roman" w:hAnsi="Times New Roman" w:cs="Times New Roman"/>
          <w:color w:val="000000"/>
        </w:rPr>
        <w:t xml:space="preserve"> </w:t>
      </w:r>
      <w:r w:rsidR="00883174">
        <w:rPr>
          <w:rFonts w:ascii="Times New Roman" w:eastAsia="Times New Roman" w:hAnsi="Times New Roman" w:cs="Times New Roman"/>
          <w:color w:val="000000"/>
        </w:rPr>
        <w:t>The</w:t>
      </w:r>
      <w:r>
        <w:rPr>
          <w:rFonts w:ascii="Times New Roman" w:eastAsia="Times New Roman" w:hAnsi="Times New Roman" w:cs="Times New Roman"/>
          <w:color w:val="000000"/>
        </w:rPr>
        <w:t xml:space="preserve"> requested</w:t>
      </w:r>
      <w:r w:rsidR="00327B23">
        <w:rPr>
          <w:rFonts w:ascii="Times New Roman" w:eastAsia="Times New Roman" w:hAnsi="Times New Roman" w:cs="Times New Roman"/>
          <w:color w:val="000000"/>
        </w:rPr>
        <w:t xml:space="preserve"> relief</w:t>
      </w:r>
      <w:r w:rsidR="00883174">
        <w:rPr>
          <w:rFonts w:ascii="Times New Roman" w:eastAsia="Times New Roman" w:hAnsi="Times New Roman" w:cs="Times New Roman"/>
          <w:color w:val="000000"/>
        </w:rPr>
        <w:t>, however,</w:t>
      </w:r>
      <w:r>
        <w:rPr>
          <w:rFonts w:ascii="Times New Roman" w:eastAsia="Times New Roman" w:hAnsi="Times New Roman" w:cs="Times New Roman"/>
          <w:color w:val="000000"/>
        </w:rPr>
        <w:t xml:space="preserve"> </w:t>
      </w:r>
      <w:r w:rsidR="00883174">
        <w:rPr>
          <w:rFonts w:ascii="Times New Roman" w:eastAsia="Times New Roman" w:hAnsi="Times New Roman" w:cs="Times New Roman"/>
          <w:color w:val="000000"/>
        </w:rPr>
        <w:t xml:space="preserve">does not aim to restore climate stability but rather </w:t>
      </w:r>
      <w:r w:rsidR="006D1924">
        <w:rPr>
          <w:rFonts w:ascii="Times New Roman" w:eastAsia="Times New Roman" w:hAnsi="Times New Roman" w:cs="Times New Roman"/>
          <w:color w:val="000000"/>
        </w:rPr>
        <w:t xml:space="preserve">seemingly </w:t>
      </w:r>
      <w:r>
        <w:rPr>
          <w:rFonts w:ascii="Times New Roman" w:eastAsia="Times New Roman" w:hAnsi="Times New Roman" w:cs="Times New Roman"/>
          <w:color w:val="000000"/>
        </w:rPr>
        <w:t>tie</w:t>
      </w:r>
      <w:r w:rsidR="00327B23">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t</w:t>
      </w:r>
      <w:r w:rsidR="006D1924">
        <w:rPr>
          <w:rFonts w:ascii="Times New Roman" w:eastAsia="Times New Roman" w:hAnsi="Times New Roman" w:cs="Times New Roman"/>
          <w:color w:val="000000"/>
        </w:rPr>
        <w:t>o infrastructure damages</w:t>
      </w:r>
      <w:r w:rsidR="00327B23">
        <w:rPr>
          <w:rFonts w:ascii="Times New Roman" w:eastAsia="Times New Roman" w:hAnsi="Times New Roman" w:cs="Times New Roman"/>
          <w:color w:val="000000"/>
        </w:rPr>
        <w:t xml:space="preserve"> and restoration of localized natural resources</w:t>
      </w:r>
      <w:r>
        <w:rPr>
          <w:rFonts w:ascii="Times New Roman" w:eastAsia="Times New Roman" w:hAnsi="Times New Roman" w:cs="Times New Roman"/>
          <w:color w:val="000000"/>
        </w:rPr>
        <w:t xml:space="preserve">. </w:t>
      </w:r>
      <w:r w:rsidR="006D1924">
        <w:rPr>
          <w:rFonts w:ascii="Times New Roman" w:eastAsia="Times New Roman" w:hAnsi="Times New Roman" w:cs="Times New Roman"/>
          <w:color w:val="000000"/>
        </w:rPr>
        <w:t xml:space="preserve"> </w:t>
      </w:r>
      <w:r w:rsidR="005553C3">
        <w:rPr>
          <w:rFonts w:ascii="Times New Roman" w:eastAsia="Times New Roman" w:hAnsi="Times New Roman" w:cs="Times New Roman"/>
          <w:color w:val="000000"/>
        </w:rPr>
        <w:t>The case has been remanded from federal court back to state court with no disposition of the claim yet.</w:t>
      </w:r>
      <w:r w:rsidR="005553C3">
        <w:rPr>
          <w:rStyle w:val="FootnoteReference"/>
          <w:rFonts w:ascii="Times New Roman" w:eastAsia="Times New Roman" w:hAnsi="Times New Roman" w:cs="Times New Roman"/>
          <w:color w:val="000000"/>
        </w:rPr>
        <w:footnoteReference w:id="71"/>
      </w:r>
      <w:r w:rsidR="005553C3">
        <w:rPr>
          <w:rFonts w:ascii="Times New Roman" w:eastAsia="Times New Roman" w:hAnsi="Times New Roman" w:cs="Times New Roman"/>
          <w:color w:val="000000"/>
        </w:rPr>
        <w:t xml:space="preserve">  </w:t>
      </w:r>
      <w:r w:rsidR="00916AB0">
        <w:rPr>
          <w:rFonts w:ascii="Times New Roman" w:eastAsia="Times New Roman" w:hAnsi="Times New Roman" w:cs="Times New Roman"/>
          <w:color w:val="000000"/>
        </w:rPr>
        <w:t xml:space="preserve">And in a new area of litigation seeking natural resource damages </w:t>
      </w:r>
      <w:r w:rsidR="00916AB0">
        <w:rPr>
          <w:rFonts w:ascii="Times New Roman" w:eastAsia="Times New Roman" w:hAnsi="Times New Roman" w:cs="Times New Roman"/>
          <w:color w:val="000000"/>
        </w:rPr>
        <w:lastRenderedPageBreak/>
        <w:t>for cleanup of the chemical PFAS, a complaint by the State of Vermont asserts a stand-alone public trust law cause of action for natural resource damages.</w:t>
      </w:r>
      <w:r w:rsidR="00916AB0">
        <w:rPr>
          <w:rStyle w:val="FootnoteReference"/>
          <w:rFonts w:ascii="Times New Roman" w:eastAsia="Times New Roman" w:hAnsi="Times New Roman" w:cs="Times New Roman"/>
          <w:color w:val="000000"/>
        </w:rPr>
        <w:footnoteReference w:id="72"/>
      </w:r>
    </w:p>
    <w:p w:rsidR="00B3013B" w:rsidRDefault="005F2650" w:rsidP="00401159">
      <w:pPr>
        <w:spacing w:line="276" w:lineRule="auto"/>
        <w:ind w:left="2880" w:hanging="720"/>
        <w:rPr>
          <w:rFonts w:ascii="Times New Roman" w:hAnsi="Times New Roman" w:cs="Times New Roman"/>
          <w:b/>
          <w:bCs/>
        </w:rPr>
      </w:pPr>
      <w:r w:rsidRPr="00320ADF">
        <w:rPr>
          <w:rFonts w:ascii="Times New Roman" w:hAnsi="Times New Roman" w:cs="Times New Roman"/>
          <w:b/>
          <w:bCs/>
        </w:rPr>
        <w:t>2.</w:t>
      </w:r>
      <w:r w:rsidR="00B3013B" w:rsidRPr="00320ADF">
        <w:rPr>
          <w:rFonts w:ascii="Times New Roman" w:hAnsi="Times New Roman" w:cs="Times New Roman"/>
          <w:b/>
          <w:bCs/>
        </w:rPr>
        <w:tab/>
        <w:t xml:space="preserve">NUISANCE, TRESPASS, AND OTHER COMMON LAW CLAIMS </w:t>
      </w:r>
    </w:p>
    <w:p w:rsidR="00B3013B" w:rsidRPr="00320ADF" w:rsidRDefault="0069178D" w:rsidP="00D45E9A">
      <w:pPr>
        <w:spacing w:line="480" w:lineRule="auto"/>
        <w:ind w:firstLine="720"/>
        <w:jc w:val="both"/>
        <w:rPr>
          <w:rFonts w:ascii="Times New Roman" w:hAnsi="Times New Roman" w:cs="Times New Roman"/>
          <w:color w:val="000000"/>
          <w:shd w:val="clear" w:color="auto" w:fill="FFFFFF"/>
        </w:rPr>
      </w:pPr>
      <w:r w:rsidRPr="00320ADF">
        <w:rPr>
          <w:rFonts w:ascii="Times New Roman" w:hAnsi="Times New Roman" w:cs="Times New Roman"/>
        </w:rPr>
        <w:t>State tort</w:t>
      </w:r>
      <w:r w:rsidR="00B3013B" w:rsidRPr="00320ADF">
        <w:rPr>
          <w:rFonts w:ascii="Times New Roman" w:hAnsi="Times New Roman" w:cs="Times New Roman"/>
        </w:rPr>
        <w:t xml:space="preserve"> law</w:t>
      </w:r>
      <w:r w:rsidRPr="00320ADF">
        <w:rPr>
          <w:rFonts w:ascii="Times New Roman" w:hAnsi="Times New Roman" w:cs="Times New Roman"/>
        </w:rPr>
        <w:t xml:space="preserve"> provides another set of possible claims</w:t>
      </w:r>
      <w:r w:rsidR="00B3013B" w:rsidRPr="00320ADF">
        <w:rPr>
          <w:rFonts w:ascii="Times New Roman" w:hAnsi="Times New Roman" w:cs="Times New Roman"/>
        </w:rPr>
        <w:t>. Notably, all three categories of analogous litigation (PCB, M</w:t>
      </w:r>
      <w:r w:rsidR="008E4252">
        <w:rPr>
          <w:rFonts w:ascii="Times New Roman" w:hAnsi="Times New Roman" w:cs="Times New Roman"/>
        </w:rPr>
        <w:t>TB</w:t>
      </w:r>
      <w:r w:rsidR="00B3013B" w:rsidRPr="00320ADF">
        <w:rPr>
          <w:rFonts w:ascii="Times New Roman" w:hAnsi="Times New Roman" w:cs="Times New Roman"/>
        </w:rPr>
        <w:t xml:space="preserve">E, and climate liability cases) assert state public nuisance claims, and many include trespass, negligence, and product liability claims as well. The public nuisance claims </w:t>
      </w:r>
      <w:r w:rsidR="00460FDE" w:rsidRPr="00320ADF">
        <w:rPr>
          <w:rFonts w:ascii="Times New Roman" w:hAnsi="Times New Roman" w:cs="Times New Roman"/>
        </w:rPr>
        <w:t>warrant</w:t>
      </w:r>
      <w:r w:rsidR="00B3013B" w:rsidRPr="00320ADF">
        <w:rPr>
          <w:rFonts w:ascii="Times New Roman" w:hAnsi="Times New Roman" w:cs="Times New Roman"/>
        </w:rPr>
        <w:t xml:space="preserve"> special description.  Generally </w:t>
      </w:r>
      <w:r w:rsidR="00B3013B" w:rsidRPr="00320ADF">
        <w:rPr>
          <w:rFonts w:ascii="Times New Roman" w:hAnsi="Times New Roman" w:cs="Times New Roman"/>
          <w:color w:val="000000"/>
          <w:shd w:val="clear" w:color="auto" w:fill="FFFFFF"/>
        </w:rPr>
        <w:t>speaking, the law of public nuisance casts a wide net</w:t>
      </w:r>
      <w:r w:rsidR="00657143" w:rsidRPr="00320ADF">
        <w:rPr>
          <w:rFonts w:ascii="Times New Roman" w:hAnsi="Times New Roman" w:cs="Times New Roman"/>
          <w:color w:val="000000"/>
          <w:shd w:val="clear" w:color="auto" w:fill="FFFFFF"/>
        </w:rPr>
        <w:t xml:space="preserve">, covering </w:t>
      </w:r>
      <w:r w:rsidR="00B3013B" w:rsidRPr="00320ADF">
        <w:rPr>
          <w:rFonts w:ascii="Times New Roman" w:hAnsi="Times New Roman" w:cs="Times New Roman"/>
          <w:color w:val="000000"/>
          <w:shd w:val="clear" w:color="auto" w:fill="FFFFFF"/>
        </w:rPr>
        <w:t>"an unreasonable interference with the rights common to the general public."</w:t>
      </w:r>
      <w:bookmarkStart w:id="1" w:name="op_1_txt_41"/>
      <w:r w:rsidR="00B3013B" w:rsidRPr="00320ADF">
        <w:rPr>
          <w:rStyle w:val="FootnoteReference"/>
          <w:rFonts w:ascii="Times New Roman" w:hAnsi="Times New Roman" w:cs="Times New Roman"/>
          <w:color w:val="000000"/>
          <w:shd w:val="clear" w:color="auto" w:fill="FFFFFF"/>
        </w:rPr>
        <w:footnoteReference w:id="73"/>
      </w:r>
      <w:bookmarkEnd w:id="1"/>
      <w:r w:rsidR="00B3013B" w:rsidRPr="00320ADF">
        <w:rPr>
          <w:rFonts w:ascii="Times New Roman" w:hAnsi="Times New Roman" w:cs="Times New Roman"/>
          <w:color w:val="000000"/>
          <w:shd w:val="clear" w:color="auto" w:fill="FFFFFF"/>
        </w:rPr>
        <w:t> </w:t>
      </w:r>
      <w:r w:rsidR="00175ED9">
        <w:rPr>
          <w:rFonts w:ascii="Times New Roman" w:hAnsi="Times New Roman" w:cs="Times New Roman"/>
          <w:color w:val="000000"/>
          <w:shd w:val="clear" w:color="auto" w:fill="FFFFFF"/>
        </w:rPr>
        <w:t xml:space="preserve"> </w:t>
      </w:r>
      <w:r w:rsidR="00B3013B" w:rsidRPr="00320ADF">
        <w:rPr>
          <w:rFonts w:ascii="Times New Roman" w:hAnsi="Times New Roman" w:cs="Times New Roman"/>
          <w:color w:val="000000"/>
          <w:shd w:val="clear" w:color="auto" w:fill="FFFFFF"/>
        </w:rPr>
        <w:t>Extending far beyond public property rights</w:t>
      </w:r>
      <w:r w:rsidR="00214EC2" w:rsidRPr="00320ADF">
        <w:rPr>
          <w:rFonts w:ascii="Times New Roman" w:hAnsi="Times New Roman" w:cs="Times New Roman"/>
          <w:color w:val="000000"/>
          <w:shd w:val="clear" w:color="auto" w:fill="FFFFFF"/>
        </w:rPr>
        <w:t xml:space="preserve"> </w:t>
      </w:r>
      <w:r w:rsidR="009F5B97" w:rsidRPr="00320ADF">
        <w:rPr>
          <w:rFonts w:ascii="Times New Roman" w:hAnsi="Times New Roman" w:cs="Times New Roman"/>
          <w:color w:val="000000"/>
          <w:shd w:val="clear" w:color="auto" w:fill="FFFFFF"/>
        </w:rPr>
        <w:t>in ecology</w:t>
      </w:r>
      <w:r w:rsidR="00B3013B" w:rsidRPr="00320ADF">
        <w:rPr>
          <w:rFonts w:ascii="Times New Roman" w:hAnsi="Times New Roman" w:cs="Times New Roman"/>
          <w:color w:val="000000"/>
          <w:shd w:val="clear" w:color="auto" w:fill="FFFFFF"/>
        </w:rPr>
        <w:t xml:space="preserve">, </w:t>
      </w:r>
      <w:r w:rsidR="009F5B97" w:rsidRPr="00320ADF">
        <w:rPr>
          <w:rFonts w:ascii="Times New Roman" w:hAnsi="Times New Roman" w:cs="Times New Roman"/>
          <w:color w:val="000000"/>
          <w:shd w:val="clear" w:color="auto" w:fill="FFFFFF"/>
        </w:rPr>
        <w:t xml:space="preserve">nuisance claims </w:t>
      </w:r>
      <w:r w:rsidR="00657143" w:rsidRPr="00320ADF">
        <w:rPr>
          <w:rFonts w:ascii="Times New Roman" w:hAnsi="Times New Roman" w:cs="Times New Roman"/>
          <w:color w:val="000000"/>
          <w:shd w:val="clear" w:color="auto" w:fill="FFFFFF"/>
        </w:rPr>
        <w:t>can reach to</w:t>
      </w:r>
      <w:r w:rsidR="00B3013B" w:rsidRPr="00320ADF">
        <w:rPr>
          <w:rFonts w:ascii="Times New Roman" w:hAnsi="Times New Roman" w:cs="Times New Roman"/>
          <w:color w:val="000000"/>
          <w:shd w:val="clear" w:color="auto" w:fill="FFFFFF"/>
        </w:rPr>
        <w:t xml:space="preserve"> </w:t>
      </w:r>
      <w:r w:rsidR="009F5B97" w:rsidRPr="00320ADF">
        <w:rPr>
          <w:rFonts w:ascii="Times New Roman" w:hAnsi="Times New Roman" w:cs="Times New Roman"/>
          <w:color w:val="000000"/>
          <w:shd w:val="clear" w:color="auto" w:fill="FFFFFF"/>
        </w:rPr>
        <w:t>matters of public health, safety, morals, and</w:t>
      </w:r>
      <w:r w:rsidR="00B3013B" w:rsidRPr="00320ADF">
        <w:rPr>
          <w:rFonts w:ascii="Times New Roman" w:hAnsi="Times New Roman" w:cs="Times New Roman"/>
          <w:color w:val="000000"/>
          <w:shd w:val="clear" w:color="auto" w:fill="FFFFFF"/>
        </w:rPr>
        <w:t xml:space="preserve"> public peace, </w:t>
      </w:r>
      <w:r w:rsidR="009F5B97" w:rsidRPr="00320ADF">
        <w:rPr>
          <w:rFonts w:ascii="Times New Roman" w:hAnsi="Times New Roman" w:cs="Times New Roman"/>
          <w:color w:val="000000"/>
          <w:shd w:val="clear" w:color="auto" w:fill="FFFFFF"/>
        </w:rPr>
        <w:t xml:space="preserve">addressing even tobacco sales and </w:t>
      </w:r>
      <w:bookmarkStart w:id="2" w:name="op_1_txt_42"/>
      <w:r w:rsidR="00021F27" w:rsidRPr="00320ADF">
        <w:rPr>
          <w:rFonts w:ascii="Times New Roman" w:hAnsi="Times New Roman" w:cs="Times New Roman"/>
          <w:color w:val="000000"/>
          <w:shd w:val="clear" w:color="auto" w:fill="FFFFFF"/>
        </w:rPr>
        <w:t>opioid</w:t>
      </w:r>
      <w:r w:rsidR="009F5B97" w:rsidRPr="00320ADF">
        <w:rPr>
          <w:rFonts w:ascii="Times New Roman" w:hAnsi="Times New Roman" w:cs="Times New Roman"/>
          <w:color w:val="000000"/>
          <w:shd w:val="clear" w:color="auto" w:fill="FFFFFF"/>
        </w:rPr>
        <w:t xml:space="preserve"> addiction.</w:t>
      </w:r>
      <w:r w:rsidR="00B3013B" w:rsidRPr="00320ADF">
        <w:rPr>
          <w:rStyle w:val="FootnoteReference"/>
          <w:rFonts w:ascii="Times New Roman" w:hAnsi="Times New Roman" w:cs="Times New Roman"/>
          <w:color w:val="000000"/>
          <w:shd w:val="clear" w:color="auto" w:fill="FFFFFF"/>
        </w:rPr>
        <w:footnoteReference w:id="74"/>
      </w:r>
      <w:bookmarkEnd w:id="2"/>
      <w:r w:rsidR="00B3013B" w:rsidRPr="00320ADF">
        <w:rPr>
          <w:rFonts w:ascii="Times New Roman" w:hAnsi="Times New Roman" w:cs="Times New Roman"/>
          <w:color w:val="000000"/>
          <w:shd w:val="clear" w:color="auto" w:fill="FFFFFF"/>
        </w:rPr>
        <w:t xml:space="preserve">  But </w:t>
      </w:r>
      <w:r w:rsidR="00460FDE" w:rsidRPr="00320ADF">
        <w:rPr>
          <w:rFonts w:ascii="Times New Roman" w:hAnsi="Times New Roman" w:cs="Times New Roman"/>
          <w:color w:val="000000"/>
          <w:shd w:val="clear" w:color="auto" w:fill="FFFFFF"/>
        </w:rPr>
        <w:t>invoked</w:t>
      </w:r>
      <w:r w:rsidR="00B3013B" w:rsidRPr="00320ADF">
        <w:rPr>
          <w:rFonts w:ascii="Times New Roman" w:hAnsi="Times New Roman" w:cs="Times New Roman"/>
          <w:color w:val="000000"/>
          <w:shd w:val="clear" w:color="auto" w:fill="FFFFFF"/>
        </w:rPr>
        <w:t xml:space="preserve"> in the PCB and M</w:t>
      </w:r>
      <w:r w:rsidR="008E4252">
        <w:rPr>
          <w:rFonts w:ascii="Times New Roman" w:hAnsi="Times New Roman" w:cs="Times New Roman"/>
          <w:color w:val="000000"/>
          <w:shd w:val="clear" w:color="auto" w:fill="FFFFFF"/>
        </w:rPr>
        <w:t>TB</w:t>
      </w:r>
      <w:r w:rsidR="00B3013B" w:rsidRPr="00320ADF">
        <w:rPr>
          <w:rFonts w:ascii="Times New Roman" w:hAnsi="Times New Roman" w:cs="Times New Roman"/>
          <w:color w:val="000000"/>
          <w:shd w:val="clear" w:color="auto" w:fill="FFFFFF"/>
        </w:rPr>
        <w:t xml:space="preserve">E cases, the claim narrows to a clear </w:t>
      </w:r>
      <w:r w:rsidR="00F63ADC" w:rsidRPr="00320ADF">
        <w:rPr>
          <w:rFonts w:ascii="Times New Roman" w:hAnsi="Times New Roman" w:cs="Times New Roman"/>
          <w:color w:val="000000"/>
          <w:shd w:val="clear" w:color="auto" w:fill="FFFFFF"/>
        </w:rPr>
        <w:t>pub</w:t>
      </w:r>
      <w:r w:rsidR="00841445" w:rsidRPr="00320ADF">
        <w:rPr>
          <w:rFonts w:ascii="Times New Roman" w:hAnsi="Times New Roman" w:cs="Times New Roman"/>
          <w:color w:val="000000"/>
          <w:shd w:val="clear" w:color="auto" w:fill="FFFFFF"/>
        </w:rPr>
        <w:t>l</w:t>
      </w:r>
      <w:r w:rsidR="00F63ADC" w:rsidRPr="00320ADF">
        <w:rPr>
          <w:rFonts w:ascii="Times New Roman" w:hAnsi="Times New Roman" w:cs="Times New Roman"/>
          <w:color w:val="000000"/>
          <w:shd w:val="clear" w:color="auto" w:fill="FFFFFF"/>
        </w:rPr>
        <w:t xml:space="preserve">ic </w:t>
      </w:r>
      <w:r w:rsidR="00B3013B" w:rsidRPr="00320ADF">
        <w:rPr>
          <w:rFonts w:ascii="Times New Roman" w:hAnsi="Times New Roman" w:cs="Times New Roman"/>
          <w:color w:val="000000"/>
          <w:shd w:val="clear" w:color="auto" w:fill="FFFFFF"/>
        </w:rPr>
        <w:t xml:space="preserve">property </w:t>
      </w:r>
      <w:r w:rsidR="00F63ADC" w:rsidRPr="00320ADF">
        <w:rPr>
          <w:rFonts w:ascii="Times New Roman" w:hAnsi="Times New Roman" w:cs="Times New Roman"/>
          <w:color w:val="000000"/>
          <w:shd w:val="clear" w:color="auto" w:fill="FFFFFF"/>
        </w:rPr>
        <w:t>interest in</w:t>
      </w:r>
      <w:r w:rsidR="00B3013B" w:rsidRPr="00320ADF">
        <w:rPr>
          <w:rFonts w:ascii="Times New Roman" w:hAnsi="Times New Roman" w:cs="Times New Roman"/>
          <w:color w:val="000000"/>
          <w:shd w:val="clear" w:color="auto" w:fill="FFFFFF"/>
        </w:rPr>
        <w:t xml:space="preserve"> trust resources</w:t>
      </w:r>
      <w:r w:rsidR="00F63ADC" w:rsidRPr="00320ADF">
        <w:rPr>
          <w:rFonts w:ascii="Times New Roman" w:hAnsi="Times New Roman" w:cs="Times New Roman"/>
          <w:color w:val="000000"/>
          <w:shd w:val="clear" w:color="auto" w:fill="FFFFFF"/>
        </w:rPr>
        <w:t xml:space="preserve"> (such as groundwater in the M</w:t>
      </w:r>
      <w:r w:rsidR="008E4252">
        <w:rPr>
          <w:rFonts w:ascii="Times New Roman" w:hAnsi="Times New Roman" w:cs="Times New Roman"/>
          <w:color w:val="000000"/>
          <w:shd w:val="clear" w:color="auto" w:fill="FFFFFF"/>
        </w:rPr>
        <w:t>TB</w:t>
      </w:r>
      <w:r w:rsidR="00F63ADC" w:rsidRPr="00320ADF">
        <w:rPr>
          <w:rFonts w:ascii="Times New Roman" w:hAnsi="Times New Roman" w:cs="Times New Roman"/>
          <w:color w:val="000000"/>
          <w:shd w:val="clear" w:color="auto" w:fill="FFFFFF"/>
        </w:rPr>
        <w:t>E cases, and a broader array of natural resources in the PCB cases)</w:t>
      </w:r>
      <w:r w:rsidR="007A50E5" w:rsidRPr="00320ADF">
        <w:rPr>
          <w:rFonts w:ascii="Times New Roman" w:hAnsi="Times New Roman" w:cs="Times New Roman"/>
          <w:color w:val="000000"/>
          <w:shd w:val="clear" w:color="auto" w:fill="FFFFFF"/>
        </w:rPr>
        <w:t xml:space="preserve"> and</w:t>
      </w:r>
      <w:r w:rsidR="00B3013B" w:rsidRPr="00320ADF">
        <w:rPr>
          <w:rFonts w:ascii="Times New Roman" w:hAnsi="Times New Roman" w:cs="Times New Roman"/>
          <w:color w:val="000000"/>
          <w:shd w:val="clear" w:color="auto" w:fill="FFFFFF"/>
        </w:rPr>
        <w:t xml:space="preserve"> </w:t>
      </w:r>
      <w:r w:rsidR="007A50E5" w:rsidRPr="00320ADF">
        <w:rPr>
          <w:rFonts w:ascii="Times New Roman" w:hAnsi="Times New Roman" w:cs="Times New Roman"/>
          <w:color w:val="000000"/>
          <w:shd w:val="clear" w:color="auto" w:fill="FFFFFF"/>
        </w:rPr>
        <w:t>presents something of a</w:t>
      </w:r>
      <w:r w:rsidR="00B3013B" w:rsidRPr="00320ADF">
        <w:rPr>
          <w:rFonts w:ascii="Times New Roman" w:hAnsi="Times New Roman" w:cs="Times New Roman"/>
          <w:color w:val="000000"/>
          <w:shd w:val="clear" w:color="auto" w:fill="FFFFFF"/>
        </w:rPr>
        <w:t xml:space="preserve"> hybrid public trust/public nuisance claim</w:t>
      </w:r>
      <w:r w:rsidR="00841445" w:rsidRPr="00320ADF">
        <w:rPr>
          <w:rFonts w:ascii="Times New Roman" w:hAnsi="Times New Roman" w:cs="Times New Roman"/>
          <w:color w:val="000000"/>
          <w:shd w:val="clear" w:color="auto" w:fill="FFFFFF"/>
        </w:rPr>
        <w:t xml:space="preserve"> </w:t>
      </w:r>
      <w:r w:rsidR="007A50E5" w:rsidRPr="00320ADF">
        <w:rPr>
          <w:rFonts w:ascii="Times New Roman" w:hAnsi="Times New Roman" w:cs="Times New Roman"/>
          <w:color w:val="000000"/>
          <w:shd w:val="clear" w:color="auto" w:fill="FFFFFF"/>
        </w:rPr>
        <w:t>quite</w:t>
      </w:r>
      <w:r w:rsidR="00841445" w:rsidRPr="00320ADF">
        <w:rPr>
          <w:rFonts w:ascii="Times New Roman" w:hAnsi="Times New Roman" w:cs="Times New Roman"/>
          <w:color w:val="000000"/>
          <w:shd w:val="clear" w:color="auto" w:fill="FFFFFF"/>
        </w:rPr>
        <w:t xml:space="preserve"> </w:t>
      </w:r>
      <w:r w:rsidR="00B3013B" w:rsidRPr="00320ADF">
        <w:rPr>
          <w:rFonts w:ascii="Times New Roman" w:hAnsi="Times New Roman" w:cs="Times New Roman"/>
          <w:color w:val="000000"/>
          <w:shd w:val="clear" w:color="auto" w:fill="FFFFFF"/>
        </w:rPr>
        <w:t xml:space="preserve">distinct from </w:t>
      </w:r>
      <w:r w:rsidR="007A50E5" w:rsidRPr="00320ADF">
        <w:rPr>
          <w:rFonts w:ascii="Times New Roman" w:hAnsi="Times New Roman" w:cs="Times New Roman"/>
          <w:color w:val="000000"/>
          <w:shd w:val="clear" w:color="auto" w:fill="FFFFFF"/>
        </w:rPr>
        <w:t xml:space="preserve">social </w:t>
      </w:r>
      <w:r w:rsidR="00B3013B" w:rsidRPr="00320ADF">
        <w:rPr>
          <w:rFonts w:ascii="Times New Roman" w:hAnsi="Times New Roman" w:cs="Times New Roman"/>
          <w:color w:val="000000"/>
          <w:shd w:val="clear" w:color="auto" w:fill="FFFFFF"/>
        </w:rPr>
        <w:t>nuisance claims.</w:t>
      </w:r>
      <w:r w:rsidR="00BB3DE2" w:rsidRPr="00320ADF">
        <w:rPr>
          <w:rStyle w:val="FootnoteReference"/>
          <w:rFonts w:ascii="Times New Roman" w:hAnsi="Times New Roman" w:cs="Times New Roman"/>
          <w:color w:val="000000"/>
          <w:shd w:val="clear" w:color="auto" w:fill="FFFFFF"/>
        </w:rPr>
        <w:footnoteReference w:id="75"/>
      </w:r>
      <w:r w:rsidR="00B3013B" w:rsidRPr="00320ADF">
        <w:rPr>
          <w:rFonts w:ascii="Times New Roman" w:hAnsi="Times New Roman" w:cs="Times New Roman"/>
          <w:color w:val="000000"/>
          <w:shd w:val="clear" w:color="auto" w:fill="FFFFFF"/>
        </w:rPr>
        <w:t xml:space="preserve">  </w:t>
      </w:r>
      <w:r w:rsidR="00BD3B56" w:rsidRPr="00320ADF">
        <w:rPr>
          <w:rFonts w:ascii="Times New Roman" w:hAnsi="Times New Roman" w:cs="Times New Roman"/>
          <w:color w:val="000000"/>
          <w:shd w:val="clear" w:color="auto" w:fill="FFFFFF"/>
        </w:rPr>
        <w:t>Government lawyers may ground their cases in</w:t>
      </w:r>
      <w:r w:rsidR="00B3013B" w:rsidRPr="00320ADF">
        <w:rPr>
          <w:rFonts w:ascii="Times New Roman" w:hAnsi="Times New Roman" w:cs="Times New Roman"/>
          <w:color w:val="000000"/>
          <w:shd w:val="clear" w:color="auto" w:fill="FFFFFF"/>
        </w:rPr>
        <w:t xml:space="preserve"> nuisance</w:t>
      </w:r>
      <w:r w:rsidR="00213C37" w:rsidRPr="00320ADF">
        <w:rPr>
          <w:rFonts w:ascii="Times New Roman" w:hAnsi="Times New Roman" w:cs="Times New Roman"/>
          <w:color w:val="000000"/>
          <w:shd w:val="clear" w:color="auto" w:fill="FFFFFF"/>
        </w:rPr>
        <w:t xml:space="preserve"> </w:t>
      </w:r>
      <w:r w:rsidR="00B3013B" w:rsidRPr="00320ADF">
        <w:rPr>
          <w:rFonts w:ascii="Times New Roman" w:hAnsi="Times New Roman" w:cs="Times New Roman"/>
          <w:color w:val="000000"/>
          <w:shd w:val="clear" w:color="auto" w:fill="FFFFFF"/>
        </w:rPr>
        <w:t>to present something recognizable and conventional to courts</w:t>
      </w:r>
      <w:r w:rsidR="00BD3B56" w:rsidRPr="00320ADF">
        <w:rPr>
          <w:rFonts w:ascii="Times New Roman" w:hAnsi="Times New Roman" w:cs="Times New Roman"/>
          <w:color w:val="000000"/>
          <w:shd w:val="clear" w:color="auto" w:fill="FFFFFF"/>
        </w:rPr>
        <w:t xml:space="preserve"> that may</w:t>
      </w:r>
      <w:r w:rsidR="00B3013B" w:rsidRPr="00320ADF">
        <w:rPr>
          <w:rFonts w:ascii="Times New Roman" w:hAnsi="Times New Roman" w:cs="Times New Roman"/>
          <w:color w:val="000000"/>
          <w:shd w:val="clear" w:color="auto" w:fill="FFFFFF"/>
        </w:rPr>
        <w:t xml:space="preserve"> be </w:t>
      </w:r>
      <w:r w:rsidR="00BD3B56" w:rsidRPr="00320ADF">
        <w:rPr>
          <w:rFonts w:ascii="Times New Roman" w:hAnsi="Times New Roman" w:cs="Times New Roman"/>
          <w:color w:val="000000"/>
          <w:shd w:val="clear" w:color="auto" w:fill="FFFFFF"/>
        </w:rPr>
        <w:t>un</w:t>
      </w:r>
      <w:r w:rsidR="00B3013B" w:rsidRPr="00320ADF">
        <w:rPr>
          <w:rFonts w:ascii="Times New Roman" w:hAnsi="Times New Roman" w:cs="Times New Roman"/>
          <w:color w:val="000000"/>
          <w:shd w:val="clear" w:color="auto" w:fill="FFFFFF"/>
        </w:rPr>
        <w:t xml:space="preserve">familiar with the public trust.  </w:t>
      </w:r>
    </w:p>
    <w:p w:rsidR="00B3013B" w:rsidRPr="00320ADF" w:rsidRDefault="004F61F4" w:rsidP="00B3013B">
      <w:pPr>
        <w:spacing w:line="480" w:lineRule="auto"/>
        <w:ind w:firstLine="720"/>
        <w:jc w:val="both"/>
        <w:rPr>
          <w:rFonts w:ascii="Times New Roman" w:hAnsi="Times New Roman" w:cs="Times New Roman"/>
        </w:rPr>
      </w:pPr>
      <w:r w:rsidRPr="00320ADF">
        <w:rPr>
          <w:rFonts w:ascii="Times New Roman" w:hAnsi="Times New Roman" w:cs="Times New Roman"/>
        </w:rPr>
        <w:t>B</w:t>
      </w:r>
      <w:r w:rsidR="00064AE6" w:rsidRPr="00320ADF">
        <w:rPr>
          <w:rFonts w:ascii="Times New Roman" w:hAnsi="Times New Roman" w:cs="Times New Roman"/>
        </w:rPr>
        <w:t xml:space="preserve">oth </w:t>
      </w:r>
      <w:r w:rsidR="00B3013B" w:rsidRPr="00320ADF">
        <w:rPr>
          <w:rFonts w:ascii="Times New Roman" w:hAnsi="Times New Roman" w:cs="Times New Roman"/>
        </w:rPr>
        <w:t>the PCB and MTBE litigation</w:t>
      </w:r>
      <w:r w:rsidRPr="00320ADF">
        <w:rPr>
          <w:rFonts w:ascii="Times New Roman" w:hAnsi="Times New Roman" w:cs="Times New Roman"/>
        </w:rPr>
        <w:t xml:space="preserve"> shows some notable success</w:t>
      </w:r>
      <w:r w:rsidR="00B3013B" w:rsidRPr="00320ADF">
        <w:rPr>
          <w:rFonts w:ascii="Times New Roman" w:hAnsi="Times New Roman" w:cs="Times New Roman"/>
        </w:rPr>
        <w:t xml:space="preserve"> where hybrid public trust/public nuisance claims have been implicitly or explicitly tied to the sovereign’s trust duty to </w:t>
      </w:r>
      <w:r w:rsidR="00B3013B" w:rsidRPr="00320ADF">
        <w:rPr>
          <w:rFonts w:ascii="Times New Roman" w:hAnsi="Times New Roman" w:cs="Times New Roman"/>
        </w:rPr>
        <w:lastRenderedPageBreak/>
        <w:t>restore the natural resources damaged by the toxic pollution.</w:t>
      </w:r>
      <w:r w:rsidR="00DE38F0" w:rsidRPr="00320ADF">
        <w:rPr>
          <w:rStyle w:val="FootnoteReference"/>
          <w:rFonts w:ascii="Times New Roman" w:hAnsi="Times New Roman" w:cs="Times New Roman"/>
        </w:rPr>
        <w:footnoteReference w:id="76"/>
      </w:r>
      <w:r w:rsidR="00B3013B" w:rsidRPr="00320ADF">
        <w:rPr>
          <w:rFonts w:ascii="Times New Roman" w:hAnsi="Times New Roman" w:cs="Times New Roman"/>
        </w:rPr>
        <w:t xml:space="preserve">   A</w:t>
      </w:r>
      <w:r w:rsidR="00526929" w:rsidRPr="00320ADF">
        <w:rPr>
          <w:rFonts w:ascii="Times New Roman" w:hAnsi="Times New Roman" w:cs="Times New Roman"/>
        </w:rPr>
        <w:t xml:space="preserve">n </w:t>
      </w:r>
      <w:r w:rsidR="00B3013B" w:rsidRPr="00320ADF">
        <w:rPr>
          <w:rFonts w:ascii="Times New Roman" w:hAnsi="Times New Roman" w:cs="Times New Roman"/>
        </w:rPr>
        <w:t xml:space="preserve">early victory </w:t>
      </w:r>
      <w:r w:rsidR="00526929" w:rsidRPr="00320ADF">
        <w:rPr>
          <w:rFonts w:ascii="Times New Roman" w:hAnsi="Times New Roman" w:cs="Times New Roman"/>
        </w:rPr>
        <w:t>resulted</w:t>
      </w:r>
      <w:r w:rsidR="00B3013B" w:rsidRPr="00320ADF">
        <w:rPr>
          <w:rFonts w:ascii="Times New Roman" w:hAnsi="Times New Roman" w:cs="Times New Roman"/>
        </w:rPr>
        <w:t xml:space="preserve"> in </w:t>
      </w:r>
      <w:r w:rsidR="00B3013B" w:rsidRPr="00320ADF">
        <w:rPr>
          <w:rFonts w:ascii="Times New Roman" w:hAnsi="Times New Roman" w:cs="Times New Roman"/>
          <w:i/>
          <w:iCs/>
        </w:rPr>
        <w:t>Oregon v. Monsanto</w:t>
      </w:r>
      <w:r w:rsidR="00B3013B" w:rsidRPr="00320ADF">
        <w:rPr>
          <w:rFonts w:ascii="Times New Roman" w:hAnsi="Times New Roman" w:cs="Times New Roman"/>
        </w:rPr>
        <w:t xml:space="preserve">, where the state asserted a </w:t>
      </w:r>
      <w:r w:rsidR="00B3013B" w:rsidRPr="00320ADF">
        <w:rPr>
          <w:rFonts w:ascii="Times New Roman" w:hAnsi="Times New Roman" w:cs="Times New Roman"/>
          <w:i/>
          <w:iCs/>
        </w:rPr>
        <w:t>per se</w:t>
      </w:r>
      <w:r w:rsidR="00B3013B" w:rsidRPr="00320ADF">
        <w:rPr>
          <w:rFonts w:ascii="Times New Roman" w:hAnsi="Times New Roman" w:cs="Times New Roman"/>
        </w:rPr>
        <w:t xml:space="preserve"> nuisance claim explicitly tied to its public trust responsibility, claiming, “The continuous presence of PCBs on lands and in rivers, waterways, and lakes that [the state] owns or holds in trust for the benefit of the public constitutes a </w:t>
      </w:r>
      <w:r w:rsidR="00B3013B" w:rsidRPr="00320ADF">
        <w:rPr>
          <w:rFonts w:ascii="Times New Roman" w:hAnsi="Times New Roman" w:cs="Times New Roman"/>
          <w:i/>
          <w:iCs/>
        </w:rPr>
        <w:t>per se</w:t>
      </w:r>
      <w:r w:rsidR="00B3013B" w:rsidRPr="00320ADF">
        <w:rPr>
          <w:rFonts w:ascii="Times New Roman" w:hAnsi="Times New Roman" w:cs="Times New Roman"/>
        </w:rPr>
        <w:t xml:space="preserve"> public nuisance.”  </w:t>
      </w:r>
      <w:r w:rsidR="00526929" w:rsidRPr="00320ADF">
        <w:rPr>
          <w:rFonts w:ascii="Times New Roman" w:hAnsi="Times New Roman" w:cs="Times New Roman"/>
        </w:rPr>
        <w:t>Rejecting</w:t>
      </w:r>
      <w:r w:rsidR="00B3013B" w:rsidRPr="00320ADF">
        <w:rPr>
          <w:rFonts w:ascii="Times New Roman" w:hAnsi="Times New Roman" w:cs="Times New Roman"/>
        </w:rPr>
        <w:t xml:space="preserve"> Monsanto’s motion to dismiss, </w:t>
      </w:r>
      <w:r w:rsidR="00526929" w:rsidRPr="00320ADF">
        <w:rPr>
          <w:rFonts w:ascii="Times New Roman" w:hAnsi="Times New Roman" w:cs="Times New Roman"/>
        </w:rPr>
        <w:t xml:space="preserve">the trial judge found </w:t>
      </w:r>
      <w:r w:rsidR="00B3013B" w:rsidRPr="00320ADF">
        <w:rPr>
          <w:rFonts w:ascii="Times New Roman" w:hAnsi="Times New Roman" w:cs="Times New Roman"/>
        </w:rPr>
        <w:t xml:space="preserve">not </w:t>
      </w:r>
      <w:r w:rsidR="00526929" w:rsidRPr="00320ADF">
        <w:rPr>
          <w:rFonts w:ascii="Times New Roman" w:hAnsi="Times New Roman" w:cs="Times New Roman"/>
        </w:rPr>
        <w:t>only a viable</w:t>
      </w:r>
      <w:r w:rsidR="00B3013B" w:rsidRPr="00320ADF">
        <w:rPr>
          <w:rFonts w:ascii="Times New Roman" w:hAnsi="Times New Roman" w:cs="Times New Roman"/>
        </w:rPr>
        <w:t xml:space="preserve"> </w:t>
      </w:r>
      <w:r w:rsidR="00B3013B" w:rsidRPr="00320ADF">
        <w:rPr>
          <w:rFonts w:ascii="Times New Roman" w:hAnsi="Times New Roman" w:cs="Times New Roman"/>
          <w:i/>
          <w:iCs/>
        </w:rPr>
        <w:t>per se</w:t>
      </w:r>
      <w:r w:rsidR="00B3013B" w:rsidRPr="00320ADF">
        <w:rPr>
          <w:rFonts w:ascii="Times New Roman" w:hAnsi="Times New Roman" w:cs="Times New Roman"/>
        </w:rPr>
        <w:t xml:space="preserve"> nuisance</w:t>
      </w:r>
      <w:r w:rsidR="00526929" w:rsidRPr="00320ADF">
        <w:rPr>
          <w:rFonts w:ascii="Times New Roman" w:hAnsi="Times New Roman" w:cs="Times New Roman"/>
        </w:rPr>
        <w:t xml:space="preserve"> claim</w:t>
      </w:r>
      <w:r w:rsidR="00B3013B" w:rsidRPr="00320ADF">
        <w:rPr>
          <w:rFonts w:ascii="Times New Roman" w:hAnsi="Times New Roman" w:cs="Times New Roman"/>
        </w:rPr>
        <w:t xml:space="preserve"> (</w:t>
      </w:r>
      <w:r w:rsidR="00526929" w:rsidRPr="00320ADF">
        <w:rPr>
          <w:rFonts w:ascii="Times New Roman" w:hAnsi="Times New Roman" w:cs="Times New Roman"/>
        </w:rPr>
        <w:t>citing a state</w:t>
      </w:r>
      <w:r w:rsidR="00B3013B" w:rsidRPr="00320ADF">
        <w:rPr>
          <w:rFonts w:ascii="Times New Roman" w:hAnsi="Times New Roman" w:cs="Times New Roman"/>
        </w:rPr>
        <w:t xml:space="preserve"> statute </w:t>
      </w:r>
      <w:r w:rsidR="00526929" w:rsidRPr="00320ADF">
        <w:rPr>
          <w:rFonts w:ascii="Times New Roman" w:hAnsi="Times New Roman" w:cs="Times New Roman"/>
        </w:rPr>
        <w:t>prohibiting</w:t>
      </w:r>
      <w:r w:rsidR="00B3013B" w:rsidRPr="00320ADF">
        <w:rPr>
          <w:rFonts w:ascii="Times New Roman" w:hAnsi="Times New Roman" w:cs="Times New Roman"/>
        </w:rPr>
        <w:t xml:space="preserve"> the pollution of state waters), but </w:t>
      </w:r>
      <w:r w:rsidR="002136C8" w:rsidRPr="00320ADF">
        <w:rPr>
          <w:rFonts w:ascii="Times New Roman" w:hAnsi="Times New Roman" w:cs="Times New Roman"/>
        </w:rPr>
        <w:t>also found all</w:t>
      </w:r>
      <w:r w:rsidR="00B3013B" w:rsidRPr="00320ADF">
        <w:rPr>
          <w:rFonts w:ascii="Times New Roman" w:hAnsi="Times New Roman" w:cs="Times New Roman"/>
        </w:rPr>
        <w:t xml:space="preserve"> elements </w:t>
      </w:r>
      <w:r w:rsidR="008A0996">
        <w:rPr>
          <w:rFonts w:ascii="Times New Roman" w:hAnsi="Times New Roman" w:cs="Times New Roman"/>
        </w:rPr>
        <w:t>of</w:t>
      </w:r>
      <w:r w:rsidR="00B3013B" w:rsidRPr="00320ADF">
        <w:rPr>
          <w:rFonts w:ascii="Times New Roman" w:hAnsi="Times New Roman" w:cs="Times New Roman"/>
        </w:rPr>
        <w:t xml:space="preserve"> a </w:t>
      </w:r>
      <w:r w:rsidR="002136C8" w:rsidRPr="00320ADF">
        <w:rPr>
          <w:rFonts w:ascii="Times New Roman" w:hAnsi="Times New Roman" w:cs="Times New Roman"/>
        </w:rPr>
        <w:t xml:space="preserve">common law </w:t>
      </w:r>
      <w:r w:rsidR="00B3013B" w:rsidRPr="00320ADF">
        <w:rPr>
          <w:rFonts w:ascii="Times New Roman" w:hAnsi="Times New Roman" w:cs="Times New Roman"/>
        </w:rPr>
        <w:t>public nuisance</w:t>
      </w:r>
      <w:r w:rsidR="002136C8" w:rsidRPr="00320ADF">
        <w:rPr>
          <w:rFonts w:ascii="Times New Roman" w:hAnsi="Times New Roman" w:cs="Times New Roman"/>
        </w:rPr>
        <w:t xml:space="preserve"> claim satisfied</w:t>
      </w:r>
      <w:r w:rsidR="00B3013B" w:rsidRPr="00320ADF">
        <w:rPr>
          <w:rFonts w:ascii="Times New Roman" w:hAnsi="Times New Roman" w:cs="Times New Roman"/>
        </w:rPr>
        <w:t>.</w:t>
      </w:r>
      <w:r w:rsidR="00B3013B" w:rsidRPr="00320ADF">
        <w:rPr>
          <w:rStyle w:val="FootnoteReference"/>
          <w:rFonts w:ascii="Times New Roman" w:hAnsi="Times New Roman" w:cs="Times New Roman"/>
        </w:rPr>
        <w:footnoteReference w:id="77"/>
      </w:r>
      <w:r w:rsidR="00B3013B" w:rsidRPr="00320ADF">
        <w:rPr>
          <w:rFonts w:ascii="Times New Roman" w:hAnsi="Times New Roman" w:cs="Times New Roman"/>
        </w:rPr>
        <w:t xml:space="preserve">  </w:t>
      </w:r>
      <w:r w:rsidR="00D36B71" w:rsidRPr="00320ADF">
        <w:rPr>
          <w:rFonts w:ascii="Times New Roman" w:hAnsi="Times New Roman" w:cs="Times New Roman"/>
        </w:rPr>
        <w:t>Likewise, in</w:t>
      </w:r>
      <w:r w:rsidR="00B3013B" w:rsidRPr="00320ADF">
        <w:rPr>
          <w:rFonts w:ascii="Times New Roman" w:hAnsi="Times New Roman" w:cs="Times New Roman"/>
        </w:rPr>
        <w:t xml:space="preserve"> a PCB case brought by the City of Seattle, </w:t>
      </w:r>
      <w:r w:rsidR="00D36B71" w:rsidRPr="00320ADF">
        <w:rPr>
          <w:rFonts w:ascii="Times New Roman" w:hAnsi="Times New Roman" w:cs="Times New Roman"/>
        </w:rPr>
        <w:t>a</w:t>
      </w:r>
      <w:r w:rsidR="00B3013B" w:rsidRPr="00320ADF">
        <w:rPr>
          <w:rFonts w:ascii="Times New Roman" w:hAnsi="Times New Roman" w:cs="Times New Roman"/>
        </w:rPr>
        <w:t xml:space="preserve"> federal district court judge rejected </w:t>
      </w:r>
      <w:r w:rsidR="00D36B71" w:rsidRPr="00320ADF">
        <w:rPr>
          <w:rFonts w:ascii="Times New Roman" w:hAnsi="Times New Roman" w:cs="Times New Roman"/>
        </w:rPr>
        <w:t xml:space="preserve">defendant’s </w:t>
      </w:r>
      <w:r w:rsidR="00B3013B" w:rsidRPr="00320ADF">
        <w:rPr>
          <w:rFonts w:ascii="Times New Roman" w:hAnsi="Times New Roman" w:cs="Times New Roman"/>
        </w:rPr>
        <w:t xml:space="preserve">motion to dismiss </w:t>
      </w:r>
      <w:r w:rsidR="00D36B71" w:rsidRPr="00320ADF">
        <w:rPr>
          <w:rFonts w:ascii="Times New Roman" w:hAnsi="Times New Roman" w:cs="Times New Roman"/>
        </w:rPr>
        <w:t xml:space="preserve">a </w:t>
      </w:r>
      <w:r w:rsidR="00B3013B" w:rsidRPr="00320ADF">
        <w:rPr>
          <w:rFonts w:ascii="Times New Roman" w:hAnsi="Times New Roman" w:cs="Times New Roman"/>
        </w:rPr>
        <w:t>public nuisance claim.</w:t>
      </w:r>
      <w:r w:rsidR="00175ED9">
        <w:rPr>
          <w:rStyle w:val="FootnoteReference"/>
          <w:rFonts w:ascii="Times New Roman" w:hAnsi="Times New Roman" w:cs="Times New Roman"/>
        </w:rPr>
        <w:footnoteReference w:id="78"/>
      </w:r>
      <w:r w:rsidR="00B3013B" w:rsidRPr="00320ADF">
        <w:rPr>
          <w:rFonts w:ascii="Times New Roman" w:hAnsi="Times New Roman" w:cs="Times New Roman"/>
        </w:rPr>
        <w:t xml:space="preserve">  Though the complaint failed to mention the public trust, the </w:t>
      </w:r>
      <w:r w:rsidR="00D36B71" w:rsidRPr="00320ADF">
        <w:rPr>
          <w:rFonts w:ascii="Times New Roman" w:hAnsi="Times New Roman" w:cs="Times New Roman"/>
        </w:rPr>
        <w:t>court framed</w:t>
      </w:r>
      <w:r w:rsidR="00B3013B" w:rsidRPr="00320ADF">
        <w:rPr>
          <w:rFonts w:ascii="Times New Roman" w:hAnsi="Times New Roman" w:cs="Times New Roman"/>
        </w:rPr>
        <w:t xml:space="preserve"> Seattle’s claims</w:t>
      </w:r>
      <w:r w:rsidR="00D36B71" w:rsidRPr="00320ADF">
        <w:rPr>
          <w:rFonts w:ascii="Times New Roman" w:hAnsi="Times New Roman" w:cs="Times New Roman"/>
        </w:rPr>
        <w:t xml:space="preserve"> in public trust terms</w:t>
      </w:r>
      <w:r w:rsidR="00B3013B" w:rsidRPr="00320ADF">
        <w:rPr>
          <w:rFonts w:ascii="Times New Roman" w:hAnsi="Times New Roman" w:cs="Times New Roman"/>
        </w:rPr>
        <w:t>, stating,</w:t>
      </w:r>
    </w:p>
    <w:p w:rsidR="00B3013B" w:rsidRDefault="00B3013B" w:rsidP="00760E2C">
      <w:pPr>
        <w:autoSpaceDE w:val="0"/>
        <w:autoSpaceDN w:val="0"/>
        <w:adjustRightInd w:val="0"/>
        <w:spacing w:line="276" w:lineRule="auto"/>
        <w:ind w:left="720" w:right="780"/>
        <w:jc w:val="both"/>
        <w:rPr>
          <w:rFonts w:ascii="Times New Roman" w:hAnsi="Times New Roman" w:cs="Times New Roman"/>
        </w:rPr>
      </w:pPr>
      <w:r w:rsidRPr="00320ADF">
        <w:rPr>
          <w:rFonts w:ascii="Times New Roman" w:hAnsi="Times New Roman" w:cs="Times New Roman"/>
        </w:rPr>
        <w:t>In this action to restore the purity of its waterways, Seattle acts in its sovereign capacity. . . . This authority derives from the state’s duty to hold all navigable waters within the state in trust for the public. . . .  Harm to the environment from the continued production, marketing, and routine use of PCBs was thus foreseeable to Monsanto, giving rise to a duty to avoid that harm.</w:t>
      </w:r>
      <w:r w:rsidRPr="00320ADF">
        <w:rPr>
          <w:rStyle w:val="FootnoteReference"/>
          <w:rFonts w:ascii="Times New Roman" w:hAnsi="Times New Roman" w:cs="Times New Roman"/>
        </w:rPr>
        <w:footnoteReference w:id="79"/>
      </w:r>
    </w:p>
    <w:p w:rsidR="00760E2C" w:rsidRPr="00320ADF" w:rsidRDefault="00760E2C" w:rsidP="00760E2C">
      <w:pPr>
        <w:autoSpaceDE w:val="0"/>
        <w:autoSpaceDN w:val="0"/>
        <w:adjustRightInd w:val="0"/>
        <w:spacing w:line="276" w:lineRule="auto"/>
        <w:ind w:left="720" w:right="780"/>
        <w:jc w:val="both"/>
        <w:rPr>
          <w:rFonts w:ascii="Times New Roman" w:hAnsi="Times New Roman" w:cs="Times New Roman"/>
        </w:rPr>
      </w:pPr>
    </w:p>
    <w:p w:rsidR="00B3013B" w:rsidRPr="00320ADF" w:rsidRDefault="00533113" w:rsidP="00B3013B">
      <w:pPr>
        <w:pStyle w:val="Default"/>
        <w:spacing w:line="480" w:lineRule="auto"/>
        <w:jc w:val="both"/>
      </w:pPr>
      <w:r w:rsidRPr="00320ADF">
        <w:t xml:space="preserve">In </w:t>
      </w:r>
      <w:r w:rsidR="00B3013B" w:rsidRPr="00320ADF">
        <w:t>Washington v. Monsanto, the State</w:t>
      </w:r>
      <w:r w:rsidR="00DD15C2">
        <w:t xml:space="preserve"> </w:t>
      </w:r>
      <w:r w:rsidR="00191DEF" w:rsidRPr="00320ADF">
        <w:t>invoked its role as public trustee to frame its nuisance claims and remedy seeking</w:t>
      </w:r>
      <w:r w:rsidR="00B3013B" w:rsidRPr="00320ADF">
        <w:t xml:space="preserve"> cleanup costs for PCBs</w:t>
      </w:r>
      <w:r w:rsidR="002C38C2" w:rsidRPr="00320ADF">
        <w:t>,</w:t>
      </w:r>
      <w:r w:rsidR="00191DEF" w:rsidRPr="00320ADF">
        <w:t xml:space="preserve"> </w:t>
      </w:r>
      <w:r w:rsidR="00B3013B" w:rsidRPr="00320ADF">
        <w:t xml:space="preserve">stating: “The injury to public natural resources is </w:t>
      </w:r>
      <w:r w:rsidR="008A0996">
        <w:t>e</w:t>
      </w:r>
      <w:r w:rsidR="00B3013B" w:rsidRPr="00320ADF">
        <w:t>specially injurious to the state in its proprietary and natural resource trustee capacities.”</w:t>
      </w:r>
      <w:r w:rsidR="00B3013B" w:rsidRPr="00320ADF">
        <w:rPr>
          <w:rStyle w:val="FootnoteReference"/>
        </w:rPr>
        <w:footnoteReference w:id="80"/>
      </w:r>
      <w:r w:rsidR="00B3013B" w:rsidRPr="00320ADF">
        <w:t xml:space="preserve">  The case</w:t>
      </w:r>
      <w:r w:rsidR="00C61BE3" w:rsidRPr="00320ADF">
        <w:t xml:space="preserve">, </w:t>
      </w:r>
      <w:r w:rsidR="00B3013B" w:rsidRPr="00320ADF">
        <w:t xml:space="preserve">removed to federal court and </w:t>
      </w:r>
      <w:r w:rsidR="001E3E7B" w:rsidRPr="00320ADF">
        <w:t xml:space="preserve">then </w:t>
      </w:r>
      <w:r w:rsidR="00B3013B" w:rsidRPr="00320ADF">
        <w:t>remanded back to state court</w:t>
      </w:r>
      <w:r w:rsidR="00C61BE3" w:rsidRPr="00320ADF">
        <w:t>,</w:t>
      </w:r>
      <w:r w:rsidR="00B3013B" w:rsidRPr="00320ADF">
        <w:t xml:space="preserve"> </w:t>
      </w:r>
      <w:r w:rsidR="00C61BE3" w:rsidRPr="00320ADF">
        <w:t xml:space="preserve">has no dispositive orders yet, but </w:t>
      </w:r>
      <w:r w:rsidR="001E3E7B" w:rsidRPr="00320ADF">
        <w:t>should</w:t>
      </w:r>
      <w:r w:rsidR="00B3013B" w:rsidRPr="00320ADF">
        <w:t xml:space="preserve"> prove enlightening to </w:t>
      </w:r>
      <w:r w:rsidR="00C61BE3" w:rsidRPr="00320ADF">
        <w:t xml:space="preserve">lawyers considering </w:t>
      </w:r>
      <w:r w:rsidR="00B3013B" w:rsidRPr="00320ADF">
        <w:t>atmospheric NRD litigation.</w:t>
      </w:r>
      <w:r w:rsidR="00B77BBE" w:rsidRPr="00320ADF">
        <w:t xml:space="preserve">  </w:t>
      </w:r>
    </w:p>
    <w:p w:rsidR="00973455" w:rsidRDefault="00B3013B" w:rsidP="00DB5C85">
      <w:pPr>
        <w:autoSpaceDE w:val="0"/>
        <w:autoSpaceDN w:val="0"/>
        <w:adjustRightInd w:val="0"/>
        <w:spacing w:line="480" w:lineRule="auto"/>
        <w:jc w:val="both"/>
        <w:rPr>
          <w:rFonts w:ascii="Times New Roman" w:hAnsi="Times New Roman" w:cs="Times New Roman"/>
        </w:rPr>
      </w:pPr>
      <w:r w:rsidRPr="00320ADF">
        <w:rPr>
          <w:rFonts w:ascii="Times New Roman" w:hAnsi="Times New Roman" w:cs="Times New Roman"/>
        </w:rPr>
        <w:lastRenderedPageBreak/>
        <w:tab/>
        <w:t>In the MTBE context, public nuisance and/or other common law claims (primarily negligence and product liability) have supported both large court awards and settlements.   In a Rhode Island case brought by the state against MTBE producers, the court upheld the state’s public nuisance claim, declaring: “Widespread water pollution is indeed a quintessential public nuisance.</w:t>
      </w:r>
      <w:r w:rsidRPr="00320ADF">
        <w:rPr>
          <w:rStyle w:val="FootnoteReference"/>
          <w:rFonts w:ascii="Times New Roman" w:hAnsi="Times New Roman" w:cs="Times New Roman"/>
        </w:rPr>
        <w:footnoteReference w:id="81"/>
      </w:r>
      <w:r w:rsidRPr="00320ADF">
        <w:rPr>
          <w:rFonts w:ascii="Times New Roman" w:hAnsi="Times New Roman" w:cs="Times New Roman"/>
        </w:rPr>
        <w:t xml:space="preserve">  But because these claims are premised on state laws, results differ between states.  A Pennsylvania court dismissed a similar public nuisance claim</w:t>
      </w:r>
      <w:r w:rsidR="002C38C2" w:rsidRPr="00320ADF">
        <w:rPr>
          <w:rFonts w:ascii="Times New Roman" w:hAnsi="Times New Roman" w:cs="Times New Roman"/>
        </w:rPr>
        <w:t>,</w:t>
      </w:r>
      <w:r w:rsidRPr="00320ADF">
        <w:rPr>
          <w:rFonts w:ascii="Times New Roman" w:hAnsi="Times New Roman" w:cs="Times New Roman"/>
        </w:rPr>
        <w:t xml:space="preserve"> because the law of that state limits liability to owners or operators of the site upon which the offending release occurs.</w:t>
      </w:r>
      <w:r w:rsidRPr="00320ADF">
        <w:rPr>
          <w:rStyle w:val="FootnoteReference"/>
          <w:rFonts w:ascii="Times New Roman" w:hAnsi="Times New Roman" w:cs="Times New Roman"/>
        </w:rPr>
        <w:footnoteReference w:id="82"/>
      </w:r>
      <w:r w:rsidRPr="00320ADF">
        <w:rPr>
          <w:rFonts w:ascii="Times New Roman" w:hAnsi="Times New Roman" w:cs="Times New Roman"/>
        </w:rPr>
        <w:t xml:space="preserve">  Though the common law claims asserted in </w:t>
      </w:r>
      <w:r w:rsidR="00973455">
        <w:rPr>
          <w:rFonts w:ascii="Times New Roman" w:hAnsi="Times New Roman" w:cs="Times New Roman"/>
        </w:rPr>
        <w:t xml:space="preserve">early </w:t>
      </w:r>
      <w:r w:rsidRPr="00320ADF">
        <w:rPr>
          <w:rFonts w:ascii="Times New Roman" w:hAnsi="Times New Roman" w:cs="Times New Roman"/>
        </w:rPr>
        <w:t>MTBE cases usually fail</w:t>
      </w:r>
      <w:r w:rsidR="00973455">
        <w:rPr>
          <w:rFonts w:ascii="Times New Roman" w:hAnsi="Times New Roman" w:cs="Times New Roman"/>
        </w:rPr>
        <w:t>ed</w:t>
      </w:r>
      <w:r w:rsidRPr="00320ADF">
        <w:rPr>
          <w:rFonts w:ascii="Times New Roman" w:hAnsi="Times New Roman" w:cs="Times New Roman"/>
        </w:rPr>
        <w:t xml:space="preserve"> to mention the public trust,</w:t>
      </w:r>
      <w:r w:rsidRPr="00320ADF">
        <w:rPr>
          <w:rStyle w:val="FootnoteReference"/>
          <w:rFonts w:ascii="Times New Roman" w:hAnsi="Times New Roman" w:cs="Times New Roman"/>
        </w:rPr>
        <w:footnoteReference w:id="83"/>
      </w:r>
      <w:r w:rsidRPr="00320ADF">
        <w:rPr>
          <w:rFonts w:ascii="Times New Roman" w:hAnsi="Times New Roman" w:cs="Times New Roman"/>
        </w:rPr>
        <w:t xml:space="preserve"> </w:t>
      </w:r>
      <w:r w:rsidR="00770FC3">
        <w:rPr>
          <w:rFonts w:ascii="Times New Roman" w:hAnsi="Times New Roman" w:cs="Times New Roman"/>
        </w:rPr>
        <w:t xml:space="preserve"> </w:t>
      </w:r>
      <w:r w:rsidRPr="00320ADF">
        <w:rPr>
          <w:rFonts w:ascii="Times New Roman" w:hAnsi="Times New Roman" w:cs="Times New Roman"/>
        </w:rPr>
        <w:t xml:space="preserve">their aim </w:t>
      </w:r>
      <w:r w:rsidR="00973455">
        <w:rPr>
          <w:rFonts w:ascii="Times New Roman" w:hAnsi="Times New Roman" w:cs="Times New Roman"/>
        </w:rPr>
        <w:t>was</w:t>
      </w:r>
      <w:r w:rsidRPr="00320ADF">
        <w:rPr>
          <w:rFonts w:ascii="Times New Roman" w:hAnsi="Times New Roman" w:cs="Times New Roman"/>
        </w:rPr>
        <w:t xml:space="preserve"> decidedly a public trust objective of cleaning up public groundwater sources.  The stunning success of some cases signal a willingness of many (though not all) courts to hold producers responsible for contamination of this vital public resource, and several other cases have produced multi-million dollar settlements out of court.</w:t>
      </w:r>
      <w:r w:rsidRPr="00320ADF">
        <w:rPr>
          <w:rStyle w:val="FootnoteReference"/>
          <w:rFonts w:ascii="Times New Roman" w:hAnsi="Times New Roman" w:cs="Times New Roman"/>
        </w:rPr>
        <w:footnoteReference w:id="84"/>
      </w:r>
      <w:r w:rsidRPr="00320ADF">
        <w:rPr>
          <w:rFonts w:ascii="Times New Roman" w:hAnsi="Times New Roman" w:cs="Times New Roman"/>
        </w:rPr>
        <w:t xml:space="preserve">  </w:t>
      </w:r>
    </w:p>
    <w:p w:rsidR="00B3013B" w:rsidRPr="00320ADF" w:rsidRDefault="00B3013B" w:rsidP="00973455">
      <w:pPr>
        <w:autoSpaceDE w:val="0"/>
        <w:autoSpaceDN w:val="0"/>
        <w:adjustRightInd w:val="0"/>
        <w:spacing w:line="480" w:lineRule="auto"/>
        <w:ind w:firstLine="720"/>
        <w:jc w:val="both"/>
        <w:rPr>
          <w:rFonts w:ascii="Times New Roman" w:hAnsi="Times New Roman" w:cs="Times New Roman"/>
        </w:rPr>
      </w:pPr>
      <w:r w:rsidRPr="00320ADF">
        <w:rPr>
          <w:rFonts w:ascii="Times New Roman" w:hAnsi="Times New Roman" w:cs="Times New Roman"/>
        </w:rPr>
        <w:t>A</w:t>
      </w:r>
      <w:r w:rsidR="00093ED5" w:rsidRPr="00320ADF">
        <w:rPr>
          <w:rFonts w:ascii="Times New Roman" w:hAnsi="Times New Roman" w:cs="Times New Roman"/>
        </w:rPr>
        <w:t xml:space="preserve"> </w:t>
      </w:r>
      <w:r w:rsidRPr="00320ADF">
        <w:rPr>
          <w:rFonts w:ascii="Times New Roman" w:hAnsi="Times New Roman" w:cs="Times New Roman"/>
        </w:rPr>
        <w:t>MTBE case filed in 2017 by the State of Maryland against major fossil fuel companies (with no dispositive rulings yet) relie</w:t>
      </w:r>
      <w:r w:rsidR="00273BFC" w:rsidRPr="00320ADF">
        <w:rPr>
          <w:rFonts w:ascii="Times New Roman" w:hAnsi="Times New Roman" w:cs="Times New Roman"/>
        </w:rPr>
        <w:t>d</w:t>
      </w:r>
      <w:r w:rsidRPr="00320ADF">
        <w:rPr>
          <w:rFonts w:ascii="Times New Roman" w:hAnsi="Times New Roman" w:cs="Times New Roman"/>
        </w:rPr>
        <w:t xml:space="preserve"> explicitly on the public trust to frame its case, stating in the complaint, “The state, as the public trustee, is empowered to bring suit to protect the corpus of the trust – </w:t>
      </w:r>
      <w:r w:rsidRPr="00320ADF">
        <w:rPr>
          <w:rFonts w:ascii="Times New Roman" w:hAnsi="Times New Roman" w:cs="Times New Roman"/>
          <w:i/>
          <w:iCs/>
        </w:rPr>
        <w:t>i.e.</w:t>
      </w:r>
      <w:r w:rsidRPr="00320ADF">
        <w:rPr>
          <w:rFonts w:ascii="Times New Roman" w:hAnsi="Times New Roman" w:cs="Times New Roman"/>
        </w:rPr>
        <w:t xml:space="preserve"> the waters – for the beneficiaries of the trust, </w:t>
      </w:r>
      <w:proofErr w:type="spellStart"/>
      <w:r w:rsidRPr="00320ADF">
        <w:rPr>
          <w:rFonts w:ascii="Times New Roman" w:hAnsi="Times New Roman" w:cs="Times New Roman"/>
          <w:i/>
          <w:iCs/>
        </w:rPr>
        <w:t>i.e</w:t>
      </w:r>
      <w:proofErr w:type="spellEnd"/>
      <w:r w:rsidRPr="00320ADF">
        <w:rPr>
          <w:rFonts w:ascii="Times New Roman" w:hAnsi="Times New Roman" w:cs="Times New Roman"/>
          <w:i/>
          <w:iCs/>
        </w:rPr>
        <w:t>,</w:t>
      </w:r>
      <w:r w:rsidRPr="00320ADF">
        <w:rPr>
          <w:rFonts w:ascii="Times New Roman" w:hAnsi="Times New Roman" w:cs="Times New Roman"/>
        </w:rPr>
        <w:t xml:space="preserve"> the public.”  The state asserted public nuisance, trespass, strict product liability, abnormally dangerous activity, and statutory claims.   The trespass claim</w:t>
      </w:r>
      <w:r w:rsidR="00DB5C85">
        <w:rPr>
          <w:rFonts w:ascii="Times New Roman" w:hAnsi="Times New Roman" w:cs="Times New Roman"/>
        </w:rPr>
        <w:t xml:space="preserve"> in particular</w:t>
      </w:r>
      <w:r w:rsidRPr="00320ADF">
        <w:rPr>
          <w:rFonts w:ascii="Times New Roman" w:hAnsi="Times New Roman" w:cs="Times New Roman"/>
        </w:rPr>
        <w:t xml:space="preserve"> represented the type of hybrid claims described above, </w:t>
      </w:r>
      <w:r w:rsidR="00273BFC" w:rsidRPr="00320ADF">
        <w:rPr>
          <w:rFonts w:ascii="Times New Roman" w:hAnsi="Times New Roman" w:cs="Times New Roman"/>
        </w:rPr>
        <w:t>where the</w:t>
      </w:r>
      <w:r w:rsidRPr="00320ADF">
        <w:rPr>
          <w:rFonts w:ascii="Times New Roman" w:hAnsi="Times New Roman" w:cs="Times New Roman"/>
        </w:rPr>
        <w:t xml:space="preserve"> public trust </w:t>
      </w:r>
      <w:r w:rsidR="00273BFC" w:rsidRPr="00320ADF">
        <w:rPr>
          <w:rFonts w:ascii="Times New Roman" w:hAnsi="Times New Roman" w:cs="Times New Roman"/>
        </w:rPr>
        <w:t>property interest form</w:t>
      </w:r>
      <w:r w:rsidR="00973455">
        <w:rPr>
          <w:rFonts w:ascii="Times New Roman" w:hAnsi="Times New Roman" w:cs="Times New Roman"/>
        </w:rPr>
        <w:t>ed</w:t>
      </w:r>
      <w:r w:rsidR="00273BFC" w:rsidRPr="00320ADF">
        <w:rPr>
          <w:rFonts w:ascii="Times New Roman" w:hAnsi="Times New Roman" w:cs="Times New Roman"/>
        </w:rPr>
        <w:t xml:space="preserve"> the core of the tort claim</w:t>
      </w:r>
      <w:r w:rsidR="00DB5C85">
        <w:rPr>
          <w:rFonts w:ascii="Times New Roman" w:hAnsi="Times New Roman" w:cs="Times New Roman"/>
        </w:rPr>
        <w:t xml:space="preserve">, asserting trespass to “the State's </w:t>
      </w:r>
      <w:r w:rsidR="00DB5C85">
        <w:rPr>
          <w:rFonts w:ascii="Times New Roman" w:hAnsi="Times New Roman" w:cs="Times New Roman"/>
        </w:rPr>
        <w:lastRenderedPageBreak/>
        <w:t>possessory interest as the trustee of the State's natural water resources</w:t>
      </w:r>
      <w:r w:rsidRPr="00320ADF">
        <w:rPr>
          <w:rFonts w:ascii="Times New Roman" w:hAnsi="Times New Roman" w:cs="Times New Roman"/>
        </w:rPr>
        <w:t>.</w:t>
      </w:r>
      <w:r w:rsidR="00770FC3">
        <w:rPr>
          <w:rFonts w:ascii="Times New Roman" w:hAnsi="Times New Roman" w:cs="Times New Roman"/>
        </w:rPr>
        <w:t>”</w:t>
      </w:r>
      <w:r w:rsidRPr="00320ADF">
        <w:rPr>
          <w:rStyle w:val="FootnoteReference"/>
          <w:rFonts w:ascii="Times New Roman" w:hAnsi="Times New Roman" w:cs="Times New Roman"/>
        </w:rPr>
        <w:footnoteReference w:id="85"/>
      </w:r>
      <w:r w:rsidRPr="00320ADF">
        <w:rPr>
          <w:rFonts w:ascii="Times New Roman" w:hAnsi="Times New Roman" w:cs="Times New Roman"/>
        </w:rPr>
        <w:t xml:space="preserve">  </w:t>
      </w:r>
      <w:r w:rsidR="00770FC3">
        <w:rPr>
          <w:rFonts w:ascii="Times New Roman" w:hAnsi="Times New Roman" w:cs="Times New Roman"/>
        </w:rPr>
        <w:t>In unrelated New Jersey litigation, the public trust was used by a court to overcome the exclusive ownership requirement of trespass law, allowing the state to pursue an NRD claim for contaminated sediments on private property.</w:t>
      </w:r>
      <w:r w:rsidR="00770FC3">
        <w:rPr>
          <w:rStyle w:val="FootnoteReference"/>
          <w:rFonts w:ascii="Times New Roman" w:hAnsi="Times New Roman" w:cs="Times New Roman"/>
        </w:rPr>
        <w:footnoteReference w:id="86"/>
      </w:r>
    </w:p>
    <w:p w:rsidR="00B3013B" w:rsidRPr="00320ADF" w:rsidRDefault="00B3013B" w:rsidP="00B3013B">
      <w:pPr>
        <w:autoSpaceDE w:val="0"/>
        <w:autoSpaceDN w:val="0"/>
        <w:adjustRightInd w:val="0"/>
        <w:spacing w:line="480" w:lineRule="auto"/>
        <w:jc w:val="both"/>
        <w:rPr>
          <w:rFonts w:ascii="Times New Roman" w:hAnsi="Times New Roman" w:cs="Times New Roman"/>
        </w:rPr>
      </w:pPr>
      <w:r w:rsidRPr="00320ADF">
        <w:rPr>
          <w:rFonts w:ascii="Times New Roman" w:hAnsi="Times New Roman" w:cs="Times New Roman"/>
        </w:rPr>
        <w:tab/>
        <w:t xml:space="preserve">In summary, the PCB and MTBE cases have met with substantial (though not </w:t>
      </w:r>
      <w:r w:rsidR="00E54CEB" w:rsidRPr="00320ADF">
        <w:rPr>
          <w:rFonts w:ascii="Times New Roman" w:hAnsi="Times New Roman" w:cs="Times New Roman"/>
        </w:rPr>
        <w:t>universal</w:t>
      </w:r>
      <w:r w:rsidRPr="00320ADF">
        <w:rPr>
          <w:rFonts w:ascii="Times New Roman" w:hAnsi="Times New Roman" w:cs="Times New Roman"/>
        </w:rPr>
        <w:t>)</w:t>
      </w:r>
      <w:r w:rsidRPr="00320ADF">
        <w:rPr>
          <w:rStyle w:val="FootnoteReference"/>
          <w:rFonts w:ascii="Times New Roman" w:hAnsi="Times New Roman" w:cs="Times New Roman"/>
        </w:rPr>
        <w:footnoteReference w:id="87"/>
      </w:r>
      <w:r w:rsidRPr="00320ADF">
        <w:rPr>
          <w:rFonts w:ascii="Times New Roman" w:hAnsi="Times New Roman" w:cs="Times New Roman"/>
        </w:rPr>
        <w:t xml:space="preserve"> success so far, asserting primarily common law claims to achieve a public trust objective.  They are the closest analogues to the </w:t>
      </w:r>
      <w:r w:rsidR="00E54CEB" w:rsidRPr="00320ADF">
        <w:rPr>
          <w:rFonts w:ascii="Times New Roman" w:hAnsi="Times New Roman" w:cs="Times New Roman"/>
        </w:rPr>
        <w:t>a</w:t>
      </w:r>
      <w:r w:rsidRPr="00320ADF">
        <w:rPr>
          <w:rFonts w:ascii="Times New Roman" w:hAnsi="Times New Roman" w:cs="Times New Roman"/>
        </w:rPr>
        <w:t>tmospheric NRD litigation suggested by this chapter, as they seek recovery of damages against manufacturers for cleanup of contaminated public ecological resources.  The challenge will be to convince judges and juries to apply the same or similar claims to fund cleanup of the atmosphere.  The climate nuisance cases, though similar in their claims and defendants, are fundamentally different as they have no obvious public trust component, with the exception of Rhode Island’s complaint.</w:t>
      </w:r>
      <w:r w:rsidRPr="00320ADF">
        <w:rPr>
          <w:rStyle w:val="FootnoteReference"/>
          <w:rFonts w:ascii="Times New Roman" w:hAnsi="Times New Roman" w:cs="Times New Roman"/>
        </w:rPr>
        <w:footnoteReference w:id="88"/>
      </w:r>
      <w:r w:rsidRPr="00320ADF">
        <w:rPr>
          <w:rFonts w:ascii="Times New Roman" w:hAnsi="Times New Roman" w:cs="Times New Roman"/>
        </w:rPr>
        <w:t xml:space="preserve">  The thrust of those cases has been towards recovering adaptation damages, and preliminary rulings are mixed.  Two federal district courts have dismissed climate nuisance claims, seemingly on the basis (discussed more below) that the matter should be addressed by the political branches of government, which may reflect a basic unease with the nuisance test when it is not geared towards remedying the harm.  Of the remaining cases, most are </w:t>
      </w:r>
      <w:r w:rsidRPr="00320ADF">
        <w:rPr>
          <w:rFonts w:ascii="Times New Roman" w:hAnsi="Times New Roman" w:cs="Times New Roman"/>
        </w:rPr>
        <w:lastRenderedPageBreak/>
        <w:t>mired in jurisdictional battles and have not been the subject of dispositive rulings on motions to dismiss.</w:t>
      </w:r>
    </w:p>
    <w:p w:rsidR="00B3013B" w:rsidRPr="00320ADF" w:rsidRDefault="00B3013B" w:rsidP="005F2650">
      <w:pPr>
        <w:pStyle w:val="ListParagraph"/>
        <w:numPr>
          <w:ilvl w:val="0"/>
          <w:numId w:val="33"/>
        </w:numPr>
        <w:spacing w:line="480" w:lineRule="auto"/>
        <w:jc w:val="both"/>
        <w:rPr>
          <w:b/>
          <w:bCs/>
        </w:rPr>
      </w:pPr>
      <w:r w:rsidRPr="00320ADF">
        <w:rPr>
          <w:b/>
          <w:bCs/>
        </w:rPr>
        <w:t xml:space="preserve">CAUSATION AND JOINT AND SEVERAL LIAIBLITY </w:t>
      </w:r>
    </w:p>
    <w:p w:rsidR="00B3013B" w:rsidRPr="00320ADF" w:rsidRDefault="00B3013B" w:rsidP="00B3013B">
      <w:pPr>
        <w:pStyle w:val="BodyText"/>
        <w:spacing w:before="2" w:line="480" w:lineRule="auto"/>
        <w:ind w:right="-30" w:firstLine="720"/>
        <w:jc w:val="both"/>
        <w:rPr>
          <w:w w:val="105"/>
        </w:rPr>
      </w:pPr>
      <w:r w:rsidRPr="00320ADF">
        <w:t xml:space="preserve">Causation </w:t>
      </w:r>
      <w:r w:rsidR="008A0996">
        <w:t>forms</w:t>
      </w:r>
      <w:r w:rsidRPr="00320ADF">
        <w:t xml:space="preserve"> a standard </w:t>
      </w:r>
      <w:r w:rsidR="008A0996">
        <w:t>part</w:t>
      </w:r>
      <w:r w:rsidR="008A0996" w:rsidRPr="00320ADF">
        <w:t xml:space="preserve"> </w:t>
      </w:r>
      <w:r w:rsidRPr="00320ADF">
        <w:t xml:space="preserve">of any lawsuit.  </w:t>
      </w:r>
      <w:r w:rsidRPr="00320ADF">
        <w:rPr>
          <w:w w:val="110"/>
        </w:rPr>
        <w:t>Notably, the causation hurdle is more straightforward in a suit</w:t>
      </w:r>
      <w:r w:rsidRPr="00320ADF">
        <w:rPr>
          <w:spacing w:val="-39"/>
          <w:w w:val="110"/>
        </w:rPr>
        <w:t xml:space="preserve"> </w:t>
      </w:r>
      <w:r w:rsidRPr="00320ADF">
        <w:rPr>
          <w:w w:val="110"/>
        </w:rPr>
        <w:t xml:space="preserve">for atmospheric NRDs than for secondary damages resulting from climate disruption.  Courts and commentators have pointed out the difficulty of attributing isolated climate harm—such as damage from flooding, fires, droughts, and the like—to human-caused emissions, though the science of attribution is rapidly developing </w:t>
      </w:r>
      <w:r w:rsidR="00E54CEB" w:rsidRPr="00320ADF">
        <w:rPr>
          <w:w w:val="110"/>
        </w:rPr>
        <w:t>and is invoked in the second-generation</w:t>
      </w:r>
      <w:r w:rsidRPr="00320ADF">
        <w:rPr>
          <w:w w:val="110"/>
        </w:rPr>
        <w:t xml:space="preserve"> climate liability cases.</w:t>
      </w:r>
      <w:r w:rsidRPr="00320ADF">
        <w:rPr>
          <w:w w:val="110"/>
          <w:position w:val="10"/>
        </w:rPr>
        <w:t xml:space="preserve">   </w:t>
      </w:r>
      <w:r w:rsidR="008A0996">
        <w:rPr>
          <w:w w:val="110"/>
        </w:rPr>
        <w:t>A</w:t>
      </w:r>
      <w:r w:rsidRPr="00320ADF">
        <w:rPr>
          <w:w w:val="110"/>
        </w:rPr>
        <w:t xml:space="preserve"> lawsuit for </w:t>
      </w:r>
      <w:r w:rsidRPr="00320ADF">
        <w:rPr>
          <w:i/>
          <w:w w:val="110"/>
        </w:rPr>
        <w:t xml:space="preserve">primary </w:t>
      </w:r>
      <w:r w:rsidRPr="00320ADF">
        <w:rPr>
          <w:w w:val="110"/>
        </w:rPr>
        <w:t xml:space="preserve">damage to the atmosphere (as suggested by this chapter), involves direct causation, because all fossil fuel emissions since the Industrial Revolution theoretically hold potential to </w:t>
      </w:r>
      <w:r w:rsidR="00857950" w:rsidRPr="00320ADF">
        <w:rPr>
          <w:w w:val="110"/>
        </w:rPr>
        <w:t xml:space="preserve">raise the </w:t>
      </w:r>
      <w:r w:rsidRPr="00320ADF">
        <w:rPr>
          <w:w w:val="110"/>
        </w:rPr>
        <w:t xml:space="preserve">concentration </w:t>
      </w:r>
      <w:r w:rsidR="00857950" w:rsidRPr="00320ADF">
        <w:rPr>
          <w:w w:val="110"/>
        </w:rPr>
        <w:t>of</w:t>
      </w:r>
      <w:r w:rsidRPr="00320ADF">
        <w:rPr>
          <w:w w:val="110"/>
        </w:rPr>
        <w:t xml:space="preserve"> atmospher</w:t>
      </w:r>
      <w:r w:rsidR="00857950" w:rsidRPr="00320ADF">
        <w:rPr>
          <w:w w:val="110"/>
        </w:rPr>
        <w:t xml:space="preserve">ic </w:t>
      </w:r>
      <w:r w:rsidR="00E54CEB" w:rsidRPr="00320ADF">
        <w:rPr>
          <w:w w:val="110"/>
        </w:rPr>
        <w:t>CO</w:t>
      </w:r>
      <w:r w:rsidR="00E54CEB" w:rsidRPr="00686B1C">
        <w:rPr>
          <w:w w:val="110"/>
          <w:vertAlign w:val="subscript"/>
        </w:rPr>
        <w:t>2</w:t>
      </w:r>
      <w:r w:rsidRPr="00320ADF">
        <w:rPr>
          <w:w w:val="110"/>
        </w:rPr>
        <w:t xml:space="preserve"> beyond the natural baseline of 280 ppm (the level prior to the Industrial Revolution), </w:t>
      </w:r>
      <w:r w:rsidR="00857950" w:rsidRPr="00320ADF">
        <w:rPr>
          <w:w w:val="110"/>
        </w:rPr>
        <w:t xml:space="preserve">disrupting the balance </w:t>
      </w:r>
      <w:r w:rsidRPr="00320ADF">
        <w:rPr>
          <w:w w:val="110"/>
        </w:rPr>
        <w:t xml:space="preserve">of </w:t>
      </w:r>
      <w:r w:rsidR="00857950" w:rsidRPr="00320ADF">
        <w:rPr>
          <w:w w:val="110"/>
        </w:rPr>
        <w:t>Earth’s</w:t>
      </w:r>
      <w:r w:rsidRPr="00320ADF">
        <w:rPr>
          <w:w w:val="110"/>
        </w:rPr>
        <w:t xml:space="preserve"> climate system.</w:t>
      </w:r>
      <w:r w:rsidRPr="00320ADF">
        <w:rPr>
          <w:rStyle w:val="FootnoteReference"/>
          <w:w w:val="110"/>
        </w:rPr>
        <w:footnoteReference w:id="89"/>
      </w:r>
      <w:r w:rsidRPr="00320ADF">
        <w:rPr>
          <w:w w:val="110"/>
        </w:rPr>
        <w:t xml:space="preserve"> </w:t>
      </w:r>
      <w:r w:rsidRPr="00320ADF">
        <w:rPr>
          <w:w w:val="105"/>
          <w:position w:val="10"/>
        </w:rPr>
        <w:t xml:space="preserve">  </w:t>
      </w:r>
    </w:p>
    <w:p w:rsidR="00B3013B" w:rsidRPr="00320ADF" w:rsidRDefault="00B3013B" w:rsidP="00B3013B">
      <w:pPr>
        <w:pStyle w:val="BodyText"/>
        <w:snapToGrid w:val="0"/>
        <w:spacing w:line="480" w:lineRule="auto"/>
        <w:ind w:firstLine="720"/>
        <w:jc w:val="both"/>
      </w:pPr>
      <w:r w:rsidRPr="00320ADF">
        <w:rPr>
          <w:w w:val="105"/>
        </w:rPr>
        <w:t>Two matters remain, however.  First, manufacturer</w:t>
      </w:r>
      <w:r w:rsidR="00857950" w:rsidRPr="00320ADF">
        <w:rPr>
          <w:w w:val="105"/>
        </w:rPr>
        <w:t>-</w:t>
      </w:r>
      <w:r w:rsidRPr="00320ADF">
        <w:rPr>
          <w:w w:val="105"/>
        </w:rPr>
        <w:t xml:space="preserve">defendants in analogous cases argue that they are not the proximate cause of the harm, because consumers are the actual emitters.  </w:t>
      </w:r>
      <w:r w:rsidR="00CC756C">
        <w:rPr>
          <w:w w:val="105"/>
        </w:rPr>
        <w:t>Several k</w:t>
      </w:r>
      <w:r w:rsidR="00193EF7" w:rsidRPr="00320ADF">
        <w:rPr>
          <w:w w:val="105"/>
        </w:rPr>
        <w:t>ey</w:t>
      </w:r>
      <w:r w:rsidRPr="00320ADF">
        <w:rPr>
          <w:w w:val="105"/>
        </w:rPr>
        <w:t xml:space="preserve"> PCB cases </w:t>
      </w:r>
      <w:r w:rsidR="00193EF7" w:rsidRPr="00320ADF">
        <w:rPr>
          <w:w w:val="105"/>
        </w:rPr>
        <w:t>have soundly rejected this argument</w:t>
      </w:r>
      <w:r w:rsidRPr="00320ADF">
        <w:rPr>
          <w:w w:val="105"/>
        </w:rPr>
        <w:t xml:space="preserve">.  The court in </w:t>
      </w:r>
      <w:r w:rsidRPr="00320ADF">
        <w:rPr>
          <w:i/>
          <w:iCs/>
        </w:rPr>
        <w:t>San Jose v. Monsanto</w:t>
      </w:r>
      <w:r w:rsidRPr="00320ADF">
        <w:t>, applying California law, held that intervening acts by third parties do not break the causal chain where the acts are “reasonably foreseeable, and should have been anticipated.”</w:t>
      </w:r>
      <w:r w:rsidRPr="00320ADF">
        <w:rPr>
          <w:rStyle w:val="FootnoteReference"/>
        </w:rPr>
        <w:footnoteReference w:id="90"/>
      </w:r>
      <w:r w:rsidRPr="00320ADF">
        <w:t xml:space="preserve"> </w:t>
      </w:r>
      <w:r w:rsidR="00193EF7" w:rsidRPr="00320ADF">
        <w:t xml:space="preserve"> </w:t>
      </w:r>
      <w:r w:rsidRPr="00320ADF">
        <w:t xml:space="preserve">It </w:t>
      </w:r>
      <w:r w:rsidR="00193EF7" w:rsidRPr="00320ADF">
        <w:t>noted</w:t>
      </w:r>
      <w:r w:rsidRPr="00320ADF">
        <w:t xml:space="preserve">, “Here, the Cities allege that Monsanto was aware of the dangers of PCBs, the likelihood of widespread contamination, and the difficulties of disposal and containment—and that, despite those risks, Monsanto continued to promote the sale of PCBs and continued to encourage third </w:t>
      </w:r>
      <w:r w:rsidRPr="00320ADF">
        <w:lastRenderedPageBreak/>
        <w:t>parties to use them in their products.”</w:t>
      </w:r>
      <w:r w:rsidRPr="00320ADF">
        <w:rPr>
          <w:rStyle w:val="FootnoteReference"/>
        </w:rPr>
        <w:footnoteReference w:id="91"/>
      </w:r>
      <w:r w:rsidRPr="00320ADF">
        <w:t xml:space="preserve"> </w:t>
      </w:r>
      <w:r w:rsidR="00686B1C">
        <w:t xml:space="preserve"> </w:t>
      </w:r>
      <w:r w:rsidRPr="00320ADF">
        <w:t xml:space="preserve">Similarly, the court </w:t>
      </w:r>
      <w:r w:rsidR="00193EF7" w:rsidRPr="00320ADF">
        <w:t xml:space="preserve">in </w:t>
      </w:r>
      <w:r w:rsidRPr="00320ADF">
        <w:t>the Oregon PCB case</w:t>
      </w:r>
      <w:r w:rsidR="00193EF7" w:rsidRPr="00320ADF">
        <w:t xml:space="preserve"> found causation established, </w:t>
      </w:r>
      <w:r w:rsidRPr="00320ADF">
        <w:t>noting it was sufficient that plaintiffs alleged</w:t>
      </w:r>
      <w:r w:rsidR="00193EF7" w:rsidRPr="00320ADF">
        <w:t xml:space="preserve">, </w:t>
      </w:r>
      <w:r w:rsidRPr="00320ADF">
        <w:t>“Defendants knew that the PCBs would inevitably wind up polluting Oregon’s waters through the normal, ordinary use of Defendants’ customers.”</w:t>
      </w:r>
      <w:r w:rsidR="00B15510">
        <w:rPr>
          <w:rStyle w:val="FootnoteReference"/>
        </w:rPr>
        <w:footnoteReference w:id="92"/>
      </w:r>
      <w:r w:rsidRPr="00320ADF">
        <w:t xml:space="preserve"> </w:t>
      </w:r>
      <w:r w:rsidR="00193EF7" w:rsidRPr="00320ADF">
        <w:t xml:space="preserve"> </w:t>
      </w:r>
      <w:r w:rsidRPr="00320ADF">
        <w:t xml:space="preserve">The federal district court in </w:t>
      </w:r>
      <w:r w:rsidRPr="00320ADF">
        <w:rPr>
          <w:i/>
          <w:iCs/>
        </w:rPr>
        <w:t>Seattle v. Monsanto</w:t>
      </w:r>
      <w:r w:rsidRPr="00320ADF">
        <w:t xml:space="preserve"> adopted a similar approach.</w:t>
      </w:r>
      <w:r w:rsidRPr="00320ADF">
        <w:rPr>
          <w:rStyle w:val="FootnoteReference"/>
        </w:rPr>
        <w:footnoteReference w:id="93"/>
      </w:r>
      <w:r w:rsidRPr="00320ADF">
        <w:t xml:space="preserve"> </w:t>
      </w:r>
      <w:r w:rsidR="00CC756C">
        <w:t xml:space="preserve">An </w:t>
      </w:r>
      <w:r w:rsidR="00CC756C">
        <w:rPr>
          <w:w w:val="105"/>
        </w:rPr>
        <w:t>Ohio court found causation could be established by showing Monsanto’s knowledge that high levels of PCBs would inevitably enter Ohio waterways “</w:t>
      </w:r>
      <w:r w:rsidR="00CC756C">
        <w:rPr>
          <w:i/>
          <w:w w:val="105"/>
        </w:rPr>
        <w:t xml:space="preserve">notwithstanding </w:t>
      </w:r>
      <w:r w:rsidR="00CC756C">
        <w:rPr>
          <w:w w:val="105"/>
        </w:rPr>
        <w:t xml:space="preserve">any intervening acts by third parties,” noting, “Monsanto [allegedly] knew that the contaminant </w:t>
      </w:r>
      <w:r w:rsidR="00CC756C">
        <w:rPr>
          <w:i/>
          <w:w w:val="105"/>
        </w:rPr>
        <w:t xml:space="preserve">eventually </w:t>
      </w:r>
      <w:r w:rsidR="00CC756C">
        <w:rPr>
          <w:w w:val="105"/>
        </w:rPr>
        <w:t>would enter the waterways by their very nature. Here, since Ohio claims Monsanto did nothing to stop the foreseeable risk, the resulting harm may be causally connected.”</w:t>
      </w:r>
      <w:r w:rsidR="00925639">
        <w:rPr>
          <w:rStyle w:val="FootnoteReference"/>
          <w:w w:val="105"/>
        </w:rPr>
        <w:footnoteReference w:id="94"/>
      </w:r>
    </w:p>
    <w:p w:rsidR="00B3013B" w:rsidRPr="00320ADF" w:rsidRDefault="00B3013B" w:rsidP="00B3013B">
      <w:pPr>
        <w:spacing w:line="480" w:lineRule="auto"/>
        <w:ind w:firstLine="720"/>
        <w:jc w:val="both"/>
        <w:rPr>
          <w:rFonts w:ascii="Times New Roman" w:hAnsi="Times New Roman" w:cs="Times New Roman"/>
          <w:w w:val="105"/>
        </w:rPr>
      </w:pPr>
      <w:r w:rsidRPr="00320ADF">
        <w:rPr>
          <w:rFonts w:ascii="Times New Roman" w:hAnsi="Times New Roman" w:cs="Times New Roman"/>
          <w:position w:val="-2"/>
        </w:rPr>
        <w:t xml:space="preserve">A second matter arises when there are multiple producers of the harmful substance, as is the case with fossil fuels.  The issue becomes whether a court will require plaintiffs to trace actual </w:t>
      </w:r>
      <w:r w:rsidRPr="00320ADF">
        <w:rPr>
          <w:rFonts w:ascii="Times New Roman" w:hAnsi="Times New Roman" w:cs="Times New Roman"/>
          <w:w w:val="105"/>
        </w:rPr>
        <w:t>excess (not absorbed) CO</w:t>
      </w:r>
      <w:r w:rsidRPr="00686B1C">
        <w:rPr>
          <w:rFonts w:ascii="Times New Roman" w:hAnsi="Times New Roman" w:cs="Times New Roman"/>
          <w:w w:val="105"/>
          <w:vertAlign w:val="subscript"/>
        </w:rPr>
        <w:t>2</w:t>
      </w:r>
      <w:r w:rsidRPr="00320ADF">
        <w:rPr>
          <w:rFonts w:ascii="Times New Roman" w:hAnsi="Times New Roman" w:cs="Times New Roman"/>
          <w:w w:val="105"/>
        </w:rPr>
        <w:t xml:space="preserve"> emissions to particular defendants.  Courts are unlikely to require plaintiffs to engage in the impossible task of “fingerprinting” carbon molecules remaining in the atmosphere and tracing them back to particular producers.  In the CERCLA context, for example, courts </w:t>
      </w:r>
      <w:r w:rsidR="00FF2901">
        <w:rPr>
          <w:rFonts w:ascii="Times New Roman" w:hAnsi="Times New Roman" w:cs="Times New Roman"/>
          <w:w w:val="105"/>
        </w:rPr>
        <w:t xml:space="preserve">rejected any fingerprinting requirement, opting for </w:t>
      </w:r>
      <w:r w:rsidRPr="00320ADF">
        <w:rPr>
          <w:rFonts w:ascii="Times New Roman" w:hAnsi="Times New Roman" w:cs="Times New Roman"/>
          <w:w w:val="105"/>
        </w:rPr>
        <w:t>a nearly “causation-free” liability scheme</w:t>
      </w:r>
      <w:r w:rsidR="00FF2901">
        <w:rPr>
          <w:rFonts w:ascii="Times New Roman" w:hAnsi="Times New Roman" w:cs="Times New Roman"/>
          <w:w w:val="105"/>
        </w:rPr>
        <w:t>.</w:t>
      </w:r>
      <w:r w:rsidRPr="00320ADF">
        <w:rPr>
          <w:rStyle w:val="FootnoteReference"/>
          <w:rFonts w:ascii="Times New Roman" w:hAnsi="Times New Roman" w:cs="Times New Roman"/>
          <w:w w:val="105"/>
        </w:rPr>
        <w:footnoteReference w:id="95"/>
      </w:r>
      <w:r w:rsidR="00FF2901">
        <w:rPr>
          <w:rFonts w:ascii="Times New Roman" w:hAnsi="Times New Roman" w:cs="Times New Roman"/>
          <w:w w:val="105"/>
        </w:rPr>
        <w:t xml:space="preserve">  </w:t>
      </w:r>
      <w:r w:rsidRPr="00320ADF">
        <w:rPr>
          <w:rFonts w:ascii="Times New Roman" w:hAnsi="Times New Roman" w:cs="Times New Roman"/>
          <w:w w:val="105"/>
        </w:rPr>
        <w:t xml:space="preserve">The causation hurdle also appears quite low in cases brought against oil companies in both the MTBE and PCB contexts.  In </w:t>
      </w:r>
      <w:r w:rsidRPr="00320ADF">
        <w:rPr>
          <w:rFonts w:ascii="Times New Roman" w:hAnsi="Times New Roman" w:cs="Times New Roman"/>
          <w:i/>
          <w:w w:val="105"/>
        </w:rPr>
        <w:t>In re MTBE Products Liability Litigation</w:t>
      </w:r>
      <w:r w:rsidRPr="00320ADF">
        <w:rPr>
          <w:rFonts w:ascii="Times New Roman" w:hAnsi="Times New Roman" w:cs="Times New Roman"/>
          <w:w w:val="105"/>
        </w:rPr>
        <w:t xml:space="preserve">, the court applied the New York state law test of tort causation, which holds that “an act or omission is regarded as a legal cause of an injury if it was a substantial factor in bringing </w:t>
      </w:r>
      <w:r w:rsidRPr="00320ADF">
        <w:rPr>
          <w:rFonts w:ascii="Times New Roman" w:hAnsi="Times New Roman" w:cs="Times New Roman"/>
          <w:w w:val="105"/>
        </w:rPr>
        <w:lastRenderedPageBreak/>
        <w:t>about the injury,”</w:t>
      </w:r>
      <w:r w:rsidRPr="00320ADF">
        <w:rPr>
          <w:rFonts w:ascii="Times New Roman" w:hAnsi="Times New Roman" w:cs="Times New Roman"/>
          <w:w w:val="105"/>
          <w:position w:val="10"/>
        </w:rPr>
        <w:t xml:space="preserve"> </w:t>
      </w:r>
      <w:r w:rsidRPr="00320ADF">
        <w:rPr>
          <w:rFonts w:ascii="Times New Roman" w:hAnsi="Times New Roman" w:cs="Times New Roman"/>
          <w:w w:val="105"/>
        </w:rPr>
        <w:t>and found Exxon liable for groundwater contamination based in part on its 25% market share of gasoline.</w:t>
      </w:r>
      <w:r w:rsidRPr="00320ADF">
        <w:rPr>
          <w:rStyle w:val="FootnoteReference"/>
          <w:rFonts w:ascii="Times New Roman" w:hAnsi="Times New Roman" w:cs="Times New Roman"/>
          <w:w w:val="105"/>
        </w:rPr>
        <w:footnoteReference w:id="96"/>
      </w:r>
      <w:r w:rsidRPr="00320ADF">
        <w:rPr>
          <w:rFonts w:ascii="Times New Roman" w:hAnsi="Times New Roman" w:cs="Times New Roman"/>
          <w:w w:val="105"/>
        </w:rPr>
        <w:t xml:space="preserve">  A more recent MTBE ruling </w:t>
      </w:r>
      <w:r w:rsidR="00FF2901">
        <w:rPr>
          <w:rFonts w:ascii="Times New Roman" w:hAnsi="Times New Roman" w:cs="Times New Roman"/>
          <w:w w:val="105"/>
        </w:rPr>
        <w:t xml:space="preserve">by </w:t>
      </w:r>
      <w:r w:rsidR="00FF2901" w:rsidRPr="00320ADF">
        <w:rPr>
          <w:rFonts w:ascii="Times New Roman" w:hAnsi="Times New Roman" w:cs="Times New Roman"/>
          <w:w w:val="105"/>
        </w:rPr>
        <w:t>federal district judge William Smith reasoned that a conventional causation test would leave the public without recourse</w:t>
      </w:r>
      <w:r w:rsidR="00FF2901">
        <w:rPr>
          <w:rFonts w:ascii="Times New Roman" w:hAnsi="Times New Roman" w:cs="Times New Roman"/>
          <w:w w:val="105"/>
        </w:rPr>
        <w:t xml:space="preserve">. </w:t>
      </w:r>
      <w:r w:rsidR="00FF2901" w:rsidRPr="00320ADF">
        <w:rPr>
          <w:rFonts w:ascii="Times New Roman" w:hAnsi="Times New Roman" w:cs="Times New Roman"/>
          <w:w w:val="105"/>
        </w:rPr>
        <w:t xml:space="preserve"> </w:t>
      </w:r>
      <w:r w:rsidR="00FF2901">
        <w:rPr>
          <w:rFonts w:ascii="Times New Roman" w:hAnsi="Times New Roman" w:cs="Times New Roman"/>
          <w:w w:val="105"/>
        </w:rPr>
        <w:t>Noting that the</w:t>
      </w:r>
      <w:r w:rsidRPr="00320ADF">
        <w:rPr>
          <w:rFonts w:ascii="Times New Roman" w:hAnsi="Times New Roman" w:cs="Times New Roman"/>
          <w:w w:val="105"/>
        </w:rPr>
        <w:t xml:space="preserve"> task of tracing MTBE molecules to particular defendants “will always be in vain” due to the commercial practice of co-mingling supplies,</w:t>
      </w:r>
      <w:r w:rsidRPr="00320ADF">
        <w:rPr>
          <w:rStyle w:val="FootnoteReference"/>
          <w:rFonts w:ascii="Times New Roman" w:hAnsi="Times New Roman" w:cs="Times New Roman"/>
          <w:w w:val="105"/>
        </w:rPr>
        <w:footnoteReference w:id="97"/>
      </w:r>
      <w:r w:rsidRPr="00320ADF">
        <w:rPr>
          <w:rFonts w:ascii="Times New Roman" w:hAnsi="Times New Roman" w:cs="Times New Roman"/>
          <w:w w:val="105"/>
        </w:rPr>
        <w:t xml:space="preserve"> </w:t>
      </w:r>
      <w:r w:rsidR="00FF2901">
        <w:rPr>
          <w:rFonts w:ascii="Times New Roman" w:hAnsi="Times New Roman" w:cs="Times New Roman"/>
          <w:w w:val="105"/>
        </w:rPr>
        <w:t xml:space="preserve">he </w:t>
      </w:r>
      <w:r w:rsidRPr="00320ADF">
        <w:rPr>
          <w:rFonts w:ascii="Times New Roman" w:hAnsi="Times New Roman" w:cs="Times New Roman"/>
          <w:w w:val="105"/>
        </w:rPr>
        <w:t xml:space="preserve">adopted an expanded approach to causation, noting that other jurisdictions had done the same so as not to leave plaintiffs with </w:t>
      </w:r>
      <w:r w:rsidR="00686B1C">
        <w:rPr>
          <w:rFonts w:ascii="Times New Roman" w:hAnsi="Times New Roman" w:cs="Times New Roman"/>
          <w:w w:val="105"/>
        </w:rPr>
        <w:t>“</w:t>
      </w:r>
      <w:r w:rsidRPr="00320ADF">
        <w:rPr>
          <w:rFonts w:ascii="Times New Roman" w:hAnsi="Times New Roman" w:cs="Times New Roman"/>
        </w:rPr>
        <w:t>impossible burdens of proof.”</w:t>
      </w:r>
      <w:r w:rsidRPr="00320ADF">
        <w:rPr>
          <w:rStyle w:val="FootnoteReference"/>
          <w:rFonts w:ascii="Times New Roman" w:hAnsi="Times New Roman" w:cs="Times New Roman"/>
        </w:rPr>
        <w:footnoteReference w:id="98"/>
      </w:r>
      <w:r w:rsidRPr="00320ADF">
        <w:rPr>
          <w:rFonts w:ascii="Times New Roman" w:hAnsi="Times New Roman" w:cs="Times New Roman"/>
        </w:rPr>
        <w:t xml:space="preserve">  </w:t>
      </w:r>
      <w:r w:rsidR="00FF2901">
        <w:rPr>
          <w:rFonts w:ascii="Times New Roman" w:hAnsi="Times New Roman" w:cs="Times New Roman"/>
          <w:position w:val="-2"/>
        </w:rPr>
        <w:t>These</w:t>
      </w:r>
      <w:r w:rsidR="00FF2901" w:rsidRPr="00320ADF">
        <w:rPr>
          <w:rFonts w:ascii="Times New Roman" w:hAnsi="Times New Roman" w:cs="Times New Roman"/>
          <w:position w:val="-2"/>
        </w:rPr>
        <w:t xml:space="preserve">  </w:t>
      </w:r>
      <w:r w:rsidRPr="00320ADF">
        <w:rPr>
          <w:rFonts w:ascii="Times New Roman" w:hAnsi="Times New Roman" w:cs="Times New Roman"/>
          <w:position w:val="-2"/>
        </w:rPr>
        <w:t>MTBE cases offer a close analogue</w:t>
      </w:r>
      <w:r w:rsidR="00193EF7" w:rsidRPr="00320ADF">
        <w:rPr>
          <w:rFonts w:ascii="Times New Roman" w:hAnsi="Times New Roman" w:cs="Times New Roman"/>
          <w:position w:val="-2"/>
        </w:rPr>
        <w:t xml:space="preserve"> to the proposed </w:t>
      </w:r>
      <w:r w:rsidR="00686B1C">
        <w:rPr>
          <w:rFonts w:ascii="Times New Roman" w:hAnsi="Times New Roman" w:cs="Times New Roman"/>
          <w:position w:val="-2"/>
        </w:rPr>
        <w:t>ARL</w:t>
      </w:r>
      <w:r w:rsidRPr="00320ADF">
        <w:rPr>
          <w:rFonts w:ascii="Times New Roman" w:hAnsi="Times New Roman" w:cs="Times New Roman"/>
          <w:position w:val="-2"/>
        </w:rPr>
        <w:t xml:space="preserve"> </w:t>
      </w:r>
      <w:r w:rsidR="00FF2901">
        <w:rPr>
          <w:rFonts w:ascii="Times New Roman" w:hAnsi="Times New Roman" w:cs="Times New Roman"/>
          <w:position w:val="-2"/>
        </w:rPr>
        <w:t xml:space="preserve">as </w:t>
      </w:r>
      <w:r w:rsidRPr="00320ADF">
        <w:rPr>
          <w:rFonts w:ascii="Times New Roman" w:hAnsi="Times New Roman" w:cs="Times New Roman"/>
          <w:position w:val="-2"/>
        </w:rPr>
        <w:t xml:space="preserve">they </w:t>
      </w:r>
      <w:r w:rsidR="00193EF7" w:rsidRPr="00320ADF">
        <w:rPr>
          <w:rFonts w:ascii="Times New Roman" w:hAnsi="Times New Roman" w:cs="Times New Roman"/>
          <w:position w:val="-2"/>
        </w:rPr>
        <w:t>target</w:t>
      </w:r>
      <w:r w:rsidRPr="00320ADF">
        <w:rPr>
          <w:rFonts w:ascii="Times New Roman" w:hAnsi="Times New Roman" w:cs="Times New Roman"/>
          <w:position w:val="-2"/>
        </w:rPr>
        <w:t xml:space="preserve"> the same </w:t>
      </w:r>
      <w:r w:rsidR="00193EF7" w:rsidRPr="00320ADF">
        <w:rPr>
          <w:rFonts w:ascii="Times New Roman" w:hAnsi="Times New Roman" w:cs="Times New Roman"/>
          <w:position w:val="-2"/>
        </w:rPr>
        <w:t xml:space="preserve">fossil fuel industry </w:t>
      </w:r>
      <w:r w:rsidRPr="00320ADF">
        <w:rPr>
          <w:rFonts w:ascii="Times New Roman" w:hAnsi="Times New Roman" w:cs="Times New Roman"/>
          <w:position w:val="-2"/>
        </w:rPr>
        <w:t xml:space="preserve">defendants.  </w:t>
      </w:r>
      <w:r w:rsidRPr="00320ADF">
        <w:rPr>
          <w:rFonts w:ascii="Times New Roman" w:hAnsi="Times New Roman" w:cs="Times New Roman"/>
          <w:w w:val="105"/>
        </w:rPr>
        <w:t xml:space="preserve">  </w:t>
      </w:r>
    </w:p>
    <w:p w:rsidR="00B3013B" w:rsidRPr="00320ADF" w:rsidRDefault="00B3013B" w:rsidP="00B3013B">
      <w:pPr>
        <w:spacing w:line="480" w:lineRule="auto"/>
        <w:ind w:firstLine="720"/>
        <w:jc w:val="both"/>
        <w:rPr>
          <w:rFonts w:ascii="Times New Roman" w:hAnsi="Times New Roman" w:cs="Times New Roman"/>
        </w:rPr>
      </w:pPr>
      <w:r w:rsidRPr="00320ADF">
        <w:rPr>
          <w:rFonts w:ascii="Times New Roman" w:hAnsi="Times New Roman" w:cs="Times New Roman"/>
          <w:w w:val="110"/>
        </w:rPr>
        <w:t xml:space="preserve">Where multiple actors contribute to contamination and the harm is indivisible, courts may impose joint and several liability to hold any one defendant, or subset of defendants, liable for the entire harm. </w:t>
      </w:r>
      <w:r w:rsidRPr="00320ADF">
        <w:rPr>
          <w:rFonts w:ascii="Times New Roman" w:hAnsi="Times New Roman" w:cs="Times New Roman"/>
          <w:w w:val="110"/>
          <w:position w:val="10"/>
        </w:rPr>
        <w:t xml:space="preserve"> </w:t>
      </w:r>
      <w:r w:rsidRPr="00320ADF">
        <w:rPr>
          <w:rFonts w:ascii="Times New Roman" w:hAnsi="Times New Roman" w:cs="Times New Roman"/>
          <w:w w:val="110"/>
        </w:rPr>
        <w:t xml:space="preserve">The liable defendants may sue the other parties for contribution, but the onus of doing so, along with the litigation costs, falls on the liable defendants rather than the government representing the public. </w:t>
      </w:r>
      <w:r w:rsidRPr="00320ADF">
        <w:rPr>
          <w:rFonts w:ascii="Times New Roman" w:hAnsi="Times New Roman" w:cs="Times New Roman"/>
          <w:w w:val="110"/>
          <w:position w:val="10"/>
        </w:rPr>
        <w:t xml:space="preserve"> </w:t>
      </w:r>
      <w:r w:rsidRPr="00320ADF">
        <w:rPr>
          <w:rFonts w:ascii="Times New Roman" w:hAnsi="Times New Roman" w:cs="Times New Roman"/>
          <w:w w:val="110"/>
        </w:rPr>
        <w:t>The approach can greatly expedite the process of securing funding for a cleanup, because it saves</w:t>
      </w:r>
      <w:r w:rsidRPr="00320ADF">
        <w:rPr>
          <w:rFonts w:ascii="Times New Roman" w:hAnsi="Times New Roman" w:cs="Times New Roman"/>
          <w:spacing w:val="-7"/>
          <w:w w:val="110"/>
        </w:rPr>
        <w:t xml:space="preserve"> </w:t>
      </w:r>
      <w:r w:rsidRPr="00320ADF">
        <w:rPr>
          <w:rFonts w:ascii="Times New Roman" w:hAnsi="Times New Roman" w:cs="Times New Roman"/>
          <w:w w:val="110"/>
        </w:rPr>
        <w:t>the</w:t>
      </w:r>
      <w:r w:rsidRPr="00320ADF">
        <w:rPr>
          <w:rFonts w:ascii="Times New Roman" w:hAnsi="Times New Roman" w:cs="Times New Roman"/>
          <w:spacing w:val="-8"/>
          <w:w w:val="110"/>
        </w:rPr>
        <w:t xml:space="preserve"> </w:t>
      </w:r>
      <w:r w:rsidRPr="00320ADF">
        <w:rPr>
          <w:rFonts w:ascii="Times New Roman" w:hAnsi="Times New Roman" w:cs="Times New Roman"/>
          <w:w w:val="110"/>
        </w:rPr>
        <w:t>government</w:t>
      </w:r>
      <w:r w:rsidRPr="00320ADF">
        <w:rPr>
          <w:rFonts w:ascii="Times New Roman" w:hAnsi="Times New Roman" w:cs="Times New Roman"/>
          <w:spacing w:val="-5"/>
          <w:w w:val="110"/>
        </w:rPr>
        <w:t xml:space="preserve"> </w:t>
      </w:r>
      <w:r w:rsidRPr="00320ADF">
        <w:rPr>
          <w:rFonts w:ascii="Times New Roman" w:hAnsi="Times New Roman" w:cs="Times New Roman"/>
          <w:w w:val="110"/>
        </w:rPr>
        <w:t>from</w:t>
      </w:r>
      <w:r w:rsidRPr="00320ADF">
        <w:rPr>
          <w:rFonts w:ascii="Times New Roman" w:hAnsi="Times New Roman" w:cs="Times New Roman"/>
          <w:spacing w:val="-8"/>
          <w:w w:val="110"/>
        </w:rPr>
        <w:t xml:space="preserve"> </w:t>
      </w:r>
      <w:r w:rsidRPr="00320ADF">
        <w:rPr>
          <w:rFonts w:ascii="Times New Roman" w:hAnsi="Times New Roman" w:cs="Times New Roman"/>
          <w:w w:val="110"/>
        </w:rPr>
        <w:t>pursuing</w:t>
      </w:r>
      <w:r w:rsidRPr="00320ADF">
        <w:rPr>
          <w:rFonts w:ascii="Times New Roman" w:hAnsi="Times New Roman" w:cs="Times New Roman"/>
          <w:spacing w:val="-6"/>
          <w:w w:val="110"/>
        </w:rPr>
        <w:t xml:space="preserve"> </w:t>
      </w:r>
      <w:r w:rsidRPr="00320ADF">
        <w:rPr>
          <w:rFonts w:ascii="Times New Roman" w:hAnsi="Times New Roman" w:cs="Times New Roman"/>
          <w:w w:val="110"/>
        </w:rPr>
        <w:t>litigation</w:t>
      </w:r>
      <w:r w:rsidRPr="00320ADF">
        <w:rPr>
          <w:rFonts w:ascii="Times New Roman" w:hAnsi="Times New Roman" w:cs="Times New Roman"/>
          <w:spacing w:val="-7"/>
          <w:w w:val="110"/>
        </w:rPr>
        <w:t xml:space="preserve"> </w:t>
      </w:r>
      <w:r w:rsidRPr="00320ADF">
        <w:rPr>
          <w:rFonts w:ascii="Times New Roman" w:hAnsi="Times New Roman" w:cs="Times New Roman"/>
          <w:w w:val="110"/>
        </w:rPr>
        <w:t>against</w:t>
      </w:r>
      <w:r w:rsidRPr="00320ADF">
        <w:rPr>
          <w:rFonts w:ascii="Times New Roman" w:hAnsi="Times New Roman" w:cs="Times New Roman"/>
          <w:spacing w:val="-7"/>
          <w:w w:val="110"/>
        </w:rPr>
        <w:t xml:space="preserve"> </w:t>
      </w:r>
      <w:r w:rsidRPr="00320ADF">
        <w:rPr>
          <w:rFonts w:ascii="Times New Roman" w:hAnsi="Times New Roman" w:cs="Times New Roman"/>
          <w:w w:val="110"/>
        </w:rPr>
        <w:t>all</w:t>
      </w:r>
      <w:r w:rsidRPr="00320ADF">
        <w:rPr>
          <w:rFonts w:ascii="Times New Roman" w:hAnsi="Times New Roman" w:cs="Times New Roman"/>
          <w:spacing w:val="-7"/>
          <w:w w:val="110"/>
        </w:rPr>
        <w:t xml:space="preserve"> </w:t>
      </w:r>
      <w:r w:rsidRPr="00320ADF">
        <w:rPr>
          <w:rFonts w:ascii="Times New Roman" w:hAnsi="Times New Roman" w:cs="Times New Roman"/>
          <w:w w:val="110"/>
        </w:rPr>
        <w:t>parties</w:t>
      </w:r>
      <w:r w:rsidRPr="00320ADF">
        <w:rPr>
          <w:rFonts w:ascii="Times New Roman" w:hAnsi="Times New Roman" w:cs="Times New Roman"/>
          <w:spacing w:val="-6"/>
          <w:w w:val="110"/>
        </w:rPr>
        <w:t xml:space="preserve"> </w:t>
      </w:r>
      <w:r w:rsidRPr="00320ADF">
        <w:rPr>
          <w:rFonts w:ascii="Times New Roman" w:hAnsi="Times New Roman" w:cs="Times New Roman"/>
          <w:w w:val="110"/>
        </w:rPr>
        <w:t>and</w:t>
      </w:r>
      <w:r w:rsidRPr="00320ADF">
        <w:rPr>
          <w:rFonts w:ascii="Times New Roman" w:hAnsi="Times New Roman" w:cs="Times New Roman"/>
          <w:spacing w:val="-7"/>
          <w:w w:val="110"/>
        </w:rPr>
        <w:t xml:space="preserve"> </w:t>
      </w:r>
      <w:r w:rsidRPr="00320ADF">
        <w:rPr>
          <w:rFonts w:ascii="Times New Roman" w:hAnsi="Times New Roman" w:cs="Times New Roman"/>
          <w:w w:val="110"/>
        </w:rPr>
        <w:t>proving their proportionate share of responsibility.</w:t>
      </w:r>
      <w:r w:rsidRPr="00320ADF">
        <w:rPr>
          <w:rFonts w:ascii="Times New Roman" w:hAnsi="Times New Roman" w:cs="Times New Roman"/>
          <w:w w:val="110"/>
          <w:position w:val="10"/>
        </w:rPr>
        <w:t xml:space="preserve">  </w:t>
      </w:r>
      <w:r w:rsidRPr="00320ADF">
        <w:rPr>
          <w:rFonts w:ascii="Times New Roman" w:hAnsi="Times New Roman" w:cs="Times New Roman"/>
          <w:w w:val="110"/>
        </w:rPr>
        <w:t>In face of climate urgency, such an approach would be most</w:t>
      </w:r>
      <w:r w:rsidRPr="00320ADF">
        <w:rPr>
          <w:rFonts w:ascii="Times New Roman" w:hAnsi="Times New Roman" w:cs="Times New Roman"/>
          <w:spacing w:val="-20"/>
          <w:w w:val="110"/>
        </w:rPr>
        <w:t xml:space="preserve"> </w:t>
      </w:r>
      <w:r w:rsidRPr="00320ADF">
        <w:rPr>
          <w:rFonts w:ascii="Times New Roman" w:hAnsi="Times New Roman" w:cs="Times New Roman"/>
          <w:w w:val="110"/>
        </w:rPr>
        <w:t>expedient.   Courts</w:t>
      </w:r>
      <w:r w:rsidRPr="00320ADF">
        <w:rPr>
          <w:rFonts w:ascii="Times New Roman" w:hAnsi="Times New Roman" w:cs="Times New Roman"/>
          <w:spacing w:val="-7"/>
          <w:w w:val="110"/>
        </w:rPr>
        <w:t xml:space="preserve"> </w:t>
      </w:r>
      <w:r w:rsidRPr="00320ADF">
        <w:rPr>
          <w:rFonts w:ascii="Times New Roman" w:hAnsi="Times New Roman" w:cs="Times New Roman"/>
          <w:w w:val="110"/>
        </w:rPr>
        <w:t>have</w:t>
      </w:r>
      <w:r w:rsidRPr="00320ADF">
        <w:rPr>
          <w:rFonts w:ascii="Times New Roman" w:hAnsi="Times New Roman" w:cs="Times New Roman"/>
          <w:spacing w:val="-7"/>
          <w:w w:val="110"/>
        </w:rPr>
        <w:t xml:space="preserve"> </w:t>
      </w:r>
      <w:r w:rsidRPr="00320ADF">
        <w:rPr>
          <w:rFonts w:ascii="Times New Roman" w:hAnsi="Times New Roman" w:cs="Times New Roman"/>
          <w:w w:val="110"/>
        </w:rPr>
        <w:t>imposed</w:t>
      </w:r>
      <w:r w:rsidRPr="00320ADF">
        <w:rPr>
          <w:rFonts w:ascii="Times New Roman" w:hAnsi="Times New Roman" w:cs="Times New Roman"/>
          <w:spacing w:val="-6"/>
          <w:w w:val="110"/>
        </w:rPr>
        <w:t xml:space="preserve"> </w:t>
      </w:r>
      <w:r w:rsidRPr="00320ADF">
        <w:rPr>
          <w:rFonts w:ascii="Times New Roman" w:hAnsi="Times New Roman" w:cs="Times New Roman"/>
          <w:w w:val="110"/>
        </w:rPr>
        <w:t>joint</w:t>
      </w:r>
      <w:r w:rsidRPr="00320ADF">
        <w:rPr>
          <w:rFonts w:ascii="Times New Roman" w:hAnsi="Times New Roman" w:cs="Times New Roman"/>
          <w:spacing w:val="-7"/>
          <w:w w:val="110"/>
        </w:rPr>
        <w:t xml:space="preserve"> </w:t>
      </w:r>
      <w:r w:rsidRPr="00320ADF">
        <w:rPr>
          <w:rFonts w:ascii="Times New Roman" w:hAnsi="Times New Roman" w:cs="Times New Roman"/>
          <w:w w:val="110"/>
        </w:rPr>
        <w:t>and</w:t>
      </w:r>
      <w:r w:rsidRPr="00320ADF">
        <w:rPr>
          <w:rFonts w:ascii="Times New Roman" w:hAnsi="Times New Roman" w:cs="Times New Roman"/>
          <w:spacing w:val="-7"/>
          <w:w w:val="110"/>
        </w:rPr>
        <w:t xml:space="preserve"> </w:t>
      </w:r>
      <w:r w:rsidRPr="00320ADF">
        <w:rPr>
          <w:rFonts w:ascii="Times New Roman" w:hAnsi="Times New Roman" w:cs="Times New Roman"/>
          <w:w w:val="110"/>
        </w:rPr>
        <w:t>several</w:t>
      </w:r>
      <w:r w:rsidRPr="00320ADF">
        <w:rPr>
          <w:rFonts w:ascii="Times New Roman" w:hAnsi="Times New Roman" w:cs="Times New Roman"/>
          <w:spacing w:val="-7"/>
          <w:w w:val="110"/>
        </w:rPr>
        <w:t xml:space="preserve"> </w:t>
      </w:r>
      <w:r w:rsidRPr="00320ADF">
        <w:rPr>
          <w:rFonts w:ascii="Times New Roman" w:hAnsi="Times New Roman" w:cs="Times New Roman"/>
          <w:w w:val="110"/>
        </w:rPr>
        <w:t>liability</w:t>
      </w:r>
      <w:r w:rsidRPr="00320ADF">
        <w:rPr>
          <w:rFonts w:ascii="Times New Roman" w:hAnsi="Times New Roman" w:cs="Times New Roman"/>
          <w:spacing w:val="-6"/>
          <w:w w:val="110"/>
        </w:rPr>
        <w:t xml:space="preserve"> </w:t>
      </w:r>
      <w:r w:rsidRPr="00320ADF">
        <w:rPr>
          <w:rFonts w:ascii="Times New Roman" w:hAnsi="Times New Roman" w:cs="Times New Roman"/>
          <w:w w:val="110"/>
        </w:rPr>
        <w:t>in</w:t>
      </w:r>
      <w:r w:rsidRPr="00320ADF">
        <w:rPr>
          <w:rFonts w:ascii="Times New Roman" w:hAnsi="Times New Roman" w:cs="Times New Roman"/>
          <w:spacing w:val="-7"/>
          <w:w w:val="110"/>
        </w:rPr>
        <w:t xml:space="preserve"> </w:t>
      </w:r>
      <w:r w:rsidRPr="00320ADF">
        <w:rPr>
          <w:rFonts w:ascii="Times New Roman" w:hAnsi="Times New Roman" w:cs="Times New Roman"/>
          <w:w w:val="110"/>
        </w:rPr>
        <w:t>the</w:t>
      </w:r>
      <w:r w:rsidRPr="00320ADF">
        <w:rPr>
          <w:rFonts w:ascii="Times New Roman" w:hAnsi="Times New Roman" w:cs="Times New Roman"/>
          <w:spacing w:val="-7"/>
          <w:w w:val="110"/>
        </w:rPr>
        <w:t xml:space="preserve"> </w:t>
      </w:r>
      <w:r w:rsidRPr="00320ADF">
        <w:rPr>
          <w:rFonts w:ascii="Times New Roman" w:hAnsi="Times New Roman" w:cs="Times New Roman"/>
          <w:w w:val="110"/>
        </w:rPr>
        <w:t>CERCLA</w:t>
      </w:r>
      <w:r w:rsidRPr="00320ADF">
        <w:rPr>
          <w:rFonts w:ascii="Times New Roman" w:hAnsi="Times New Roman" w:cs="Times New Roman"/>
          <w:spacing w:val="-7"/>
          <w:w w:val="110"/>
        </w:rPr>
        <w:t xml:space="preserve"> </w:t>
      </w:r>
      <w:r w:rsidRPr="00320ADF">
        <w:rPr>
          <w:rFonts w:ascii="Times New Roman" w:hAnsi="Times New Roman" w:cs="Times New Roman"/>
          <w:w w:val="110"/>
        </w:rPr>
        <w:t>context,</w:t>
      </w:r>
      <w:r w:rsidR="00857950" w:rsidRPr="00320ADF">
        <w:rPr>
          <w:rStyle w:val="FootnoteReference"/>
          <w:rFonts w:ascii="Times New Roman" w:hAnsi="Times New Roman" w:cs="Times New Roman"/>
          <w:w w:val="110"/>
        </w:rPr>
        <w:footnoteReference w:id="99"/>
      </w:r>
      <w:r w:rsidRPr="00320ADF">
        <w:rPr>
          <w:rFonts w:ascii="Times New Roman" w:hAnsi="Times New Roman" w:cs="Times New Roman"/>
          <w:w w:val="110"/>
        </w:rPr>
        <w:t xml:space="preserve"> even in the face of congressional silence on the matter, and </w:t>
      </w:r>
      <w:r w:rsidR="00DF6497" w:rsidRPr="00320ADF">
        <w:rPr>
          <w:rFonts w:ascii="Times New Roman" w:hAnsi="Times New Roman" w:cs="Times New Roman"/>
          <w:w w:val="110"/>
        </w:rPr>
        <w:t xml:space="preserve">several </w:t>
      </w:r>
      <w:r w:rsidRPr="00320ADF">
        <w:rPr>
          <w:rFonts w:ascii="Times New Roman" w:hAnsi="Times New Roman" w:cs="Times New Roman"/>
          <w:w w:val="110"/>
        </w:rPr>
        <w:t>courts in the MTBE litigation have taken the same approach.</w:t>
      </w:r>
      <w:r w:rsidRPr="00320ADF">
        <w:rPr>
          <w:rStyle w:val="FootnoteReference"/>
          <w:rFonts w:ascii="Times New Roman" w:hAnsi="Times New Roman" w:cs="Times New Roman"/>
          <w:w w:val="110"/>
        </w:rPr>
        <w:footnoteReference w:id="100"/>
      </w:r>
      <w:r w:rsidRPr="00320ADF">
        <w:rPr>
          <w:rFonts w:ascii="Times New Roman" w:hAnsi="Times New Roman" w:cs="Times New Roman"/>
          <w:w w:val="110"/>
          <w:position w:val="10"/>
        </w:rPr>
        <w:t xml:space="preserve">  </w:t>
      </w:r>
      <w:r w:rsidR="00DF6497" w:rsidRPr="00320ADF">
        <w:rPr>
          <w:rFonts w:ascii="Times New Roman" w:hAnsi="Times New Roman" w:cs="Times New Roman"/>
          <w:w w:val="110"/>
        </w:rPr>
        <w:t>But if</w:t>
      </w:r>
      <w:r w:rsidRPr="00320ADF">
        <w:rPr>
          <w:rFonts w:ascii="Times New Roman" w:hAnsi="Times New Roman" w:cs="Times New Roman"/>
          <w:w w:val="110"/>
        </w:rPr>
        <w:t xml:space="preserve"> a defendant can prove a “reasonable</w:t>
      </w:r>
      <w:r w:rsidRPr="00320ADF">
        <w:rPr>
          <w:rFonts w:ascii="Times New Roman" w:hAnsi="Times New Roman" w:cs="Times New Roman"/>
          <w:spacing w:val="-9"/>
          <w:w w:val="110"/>
        </w:rPr>
        <w:t xml:space="preserve"> </w:t>
      </w:r>
      <w:r w:rsidRPr="00320ADF">
        <w:rPr>
          <w:rFonts w:ascii="Times New Roman" w:hAnsi="Times New Roman" w:cs="Times New Roman"/>
          <w:w w:val="110"/>
        </w:rPr>
        <w:t>basis”</w:t>
      </w:r>
      <w:r w:rsidRPr="00320ADF">
        <w:rPr>
          <w:rFonts w:ascii="Times New Roman" w:hAnsi="Times New Roman" w:cs="Times New Roman"/>
          <w:spacing w:val="-8"/>
          <w:w w:val="110"/>
        </w:rPr>
        <w:t xml:space="preserve"> </w:t>
      </w:r>
      <w:r w:rsidRPr="00320ADF">
        <w:rPr>
          <w:rFonts w:ascii="Times New Roman" w:hAnsi="Times New Roman" w:cs="Times New Roman"/>
          <w:w w:val="110"/>
        </w:rPr>
        <w:t>for</w:t>
      </w:r>
      <w:r w:rsidRPr="00320ADF">
        <w:rPr>
          <w:rFonts w:ascii="Times New Roman" w:hAnsi="Times New Roman" w:cs="Times New Roman"/>
          <w:spacing w:val="-9"/>
          <w:w w:val="110"/>
        </w:rPr>
        <w:t xml:space="preserve"> </w:t>
      </w:r>
      <w:r w:rsidRPr="00320ADF">
        <w:rPr>
          <w:rFonts w:ascii="Times New Roman" w:hAnsi="Times New Roman" w:cs="Times New Roman"/>
          <w:w w:val="110"/>
        </w:rPr>
        <w:t>apportioning</w:t>
      </w:r>
      <w:r w:rsidRPr="00320ADF">
        <w:rPr>
          <w:rFonts w:ascii="Times New Roman" w:hAnsi="Times New Roman" w:cs="Times New Roman"/>
          <w:spacing w:val="-8"/>
          <w:w w:val="110"/>
        </w:rPr>
        <w:t xml:space="preserve"> </w:t>
      </w:r>
      <w:r w:rsidRPr="00320ADF">
        <w:rPr>
          <w:rFonts w:ascii="Times New Roman" w:hAnsi="Times New Roman" w:cs="Times New Roman"/>
          <w:w w:val="110"/>
        </w:rPr>
        <w:t>harm,</w:t>
      </w:r>
      <w:r w:rsidRPr="00320ADF">
        <w:rPr>
          <w:rFonts w:ascii="Times New Roman" w:hAnsi="Times New Roman" w:cs="Times New Roman"/>
          <w:spacing w:val="-8"/>
          <w:w w:val="110"/>
        </w:rPr>
        <w:t xml:space="preserve"> </w:t>
      </w:r>
      <w:r w:rsidRPr="00320ADF">
        <w:rPr>
          <w:rFonts w:ascii="Times New Roman" w:hAnsi="Times New Roman" w:cs="Times New Roman"/>
          <w:w w:val="110"/>
        </w:rPr>
        <w:t>that</w:t>
      </w:r>
      <w:r w:rsidRPr="00320ADF">
        <w:rPr>
          <w:rFonts w:ascii="Times New Roman" w:hAnsi="Times New Roman" w:cs="Times New Roman"/>
          <w:spacing w:val="-9"/>
          <w:w w:val="110"/>
        </w:rPr>
        <w:t xml:space="preserve"> </w:t>
      </w:r>
      <w:r w:rsidRPr="00320ADF">
        <w:rPr>
          <w:rFonts w:ascii="Times New Roman" w:hAnsi="Times New Roman" w:cs="Times New Roman"/>
          <w:w w:val="110"/>
        </w:rPr>
        <w:t>defendant’s</w:t>
      </w:r>
      <w:r w:rsidRPr="00320ADF">
        <w:rPr>
          <w:rFonts w:ascii="Times New Roman" w:hAnsi="Times New Roman" w:cs="Times New Roman"/>
          <w:spacing w:val="-8"/>
          <w:w w:val="110"/>
        </w:rPr>
        <w:t xml:space="preserve"> </w:t>
      </w:r>
      <w:r w:rsidRPr="00320ADF">
        <w:rPr>
          <w:rFonts w:ascii="Times New Roman" w:hAnsi="Times New Roman" w:cs="Times New Roman"/>
          <w:w w:val="110"/>
        </w:rPr>
        <w:t>liability</w:t>
      </w:r>
      <w:r w:rsidRPr="00320ADF">
        <w:rPr>
          <w:rFonts w:ascii="Times New Roman" w:hAnsi="Times New Roman" w:cs="Times New Roman"/>
          <w:spacing w:val="-8"/>
          <w:w w:val="110"/>
        </w:rPr>
        <w:t xml:space="preserve"> </w:t>
      </w:r>
      <w:r w:rsidR="00DF6497" w:rsidRPr="00320ADF">
        <w:rPr>
          <w:rFonts w:ascii="Times New Roman" w:hAnsi="Times New Roman" w:cs="Times New Roman"/>
          <w:w w:val="110"/>
        </w:rPr>
        <w:t>may be</w:t>
      </w:r>
      <w:r w:rsidRPr="00320ADF">
        <w:rPr>
          <w:rFonts w:ascii="Times New Roman" w:hAnsi="Times New Roman" w:cs="Times New Roman"/>
          <w:spacing w:val="-8"/>
          <w:w w:val="110"/>
        </w:rPr>
        <w:t xml:space="preserve"> </w:t>
      </w:r>
      <w:r w:rsidRPr="00320ADF">
        <w:rPr>
          <w:rFonts w:ascii="Times New Roman" w:hAnsi="Times New Roman" w:cs="Times New Roman"/>
          <w:w w:val="110"/>
        </w:rPr>
        <w:t xml:space="preserve">limited to the amount of harm </w:t>
      </w:r>
      <w:r w:rsidRPr="00320ADF">
        <w:rPr>
          <w:rFonts w:ascii="Times New Roman" w:hAnsi="Times New Roman" w:cs="Times New Roman"/>
          <w:w w:val="110"/>
        </w:rPr>
        <w:lastRenderedPageBreak/>
        <w:t>attributable to his or her actions.</w:t>
      </w:r>
      <w:r w:rsidR="00DF6497" w:rsidRPr="00320ADF">
        <w:rPr>
          <w:rStyle w:val="FootnoteReference"/>
          <w:rFonts w:ascii="Times New Roman" w:hAnsi="Times New Roman" w:cs="Times New Roman"/>
          <w:w w:val="110"/>
        </w:rPr>
        <w:footnoteReference w:id="101"/>
      </w:r>
      <w:r w:rsidRPr="00320ADF">
        <w:rPr>
          <w:rFonts w:ascii="Times New Roman" w:hAnsi="Times New Roman" w:cs="Times New Roman"/>
          <w:w w:val="110"/>
        </w:rPr>
        <w:t xml:space="preserve"> </w:t>
      </w:r>
      <w:r w:rsidR="00390E14">
        <w:rPr>
          <w:rFonts w:ascii="Times New Roman" w:hAnsi="Times New Roman" w:cs="Times New Roman"/>
          <w:w w:val="110"/>
        </w:rPr>
        <w:t xml:space="preserve"> </w:t>
      </w:r>
      <w:r w:rsidRPr="00320ADF">
        <w:rPr>
          <w:rFonts w:ascii="Times New Roman" w:hAnsi="Times New Roman" w:cs="Times New Roman"/>
          <w:w w:val="110"/>
        </w:rPr>
        <w:t>Applying this rule</w:t>
      </w:r>
      <w:r w:rsidRPr="00320ADF">
        <w:rPr>
          <w:rFonts w:ascii="Times New Roman" w:hAnsi="Times New Roman" w:cs="Times New Roman"/>
          <w:spacing w:val="-38"/>
          <w:w w:val="110"/>
        </w:rPr>
        <w:t xml:space="preserve"> </w:t>
      </w:r>
      <w:r w:rsidRPr="00320ADF">
        <w:rPr>
          <w:rFonts w:ascii="Times New Roman" w:hAnsi="Times New Roman" w:cs="Times New Roman"/>
          <w:w w:val="110"/>
        </w:rPr>
        <w:t xml:space="preserve">to the climate context, a court could </w:t>
      </w:r>
      <w:r w:rsidR="00BE29A9">
        <w:rPr>
          <w:rFonts w:ascii="Times New Roman" w:hAnsi="Times New Roman" w:cs="Times New Roman"/>
          <w:w w:val="110"/>
        </w:rPr>
        <w:t xml:space="preserve">theoretically </w:t>
      </w:r>
      <w:r w:rsidRPr="00320ADF">
        <w:rPr>
          <w:rFonts w:ascii="Times New Roman" w:hAnsi="Times New Roman" w:cs="Times New Roman"/>
          <w:w w:val="110"/>
        </w:rPr>
        <w:t>find each defendant corporation responsible for the amount of emissions attributable to its fossil fuel production, as detailed in the Carbon Majors report</w:t>
      </w:r>
      <w:r w:rsidR="00DF6497" w:rsidRPr="00320ADF">
        <w:rPr>
          <w:rFonts w:ascii="Times New Roman" w:hAnsi="Times New Roman" w:cs="Times New Roman"/>
          <w:w w:val="110"/>
        </w:rPr>
        <w:t xml:space="preserve"> described above.</w:t>
      </w:r>
      <w:r w:rsidRPr="00320ADF">
        <w:rPr>
          <w:rFonts w:ascii="Times New Roman" w:hAnsi="Times New Roman" w:cs="Times New Roman"/>
          <w:w w:val="110"/>
          <w:position w:val="10"/>
        </w:rPr>
        <w:t xml:space="preserve"> </w:t>
      </w:r>
      <w:r w:rsidRPr="00320ADF">
        <w:rPr>
          <w:rFonts w:ascii="Times New Roman" w:hAnsi="Times New Roman" w:cs="Times New Roman"/>
          <w:w w:val="110"/>
        </w:rPr>
        <w:t xml:space="preserve"> </w:t>
      </w:r>
    </w:p>
    <w:p w:rsidR="007B1306" w:rsidRPr="00320ADF" w:rsidRDefault="007B1306" w:rsidP="005F44B1">
      <w:pPr>
        <w:pStyle w:val="ListParagraph"/>
        <w:numPr>
          <w:ilvl w:val="0"/>
          <w:numId w:val="33"/>
        </w:numPr>
        <w:spacing w:line="480" w:lineRule="auto"/>
        <w:jc w:val="both"/>
        <w:rPr>
          <w:b/>
          <w:bCs/>
        </w:rPr>
      </w:pPr>
      <w:r w:rsidRPr="00320ADF">
        <w:rPr>
          <w:b/>
          <w:bCs/>
        </w:rPr>
        <w:t>DEFENSES</w:t>
      </w:r>
    </w:p>
    <w:p w:rsidR="005F44B1" w:rsidRPr="00320ADF" w:rsidRDefault="005F44B1" w:rsidP="00A17F85">
      <w:pPr>
        <w:spacing w:line="480" w:lineRule="auto"/>
        <w:ind w:firstLine="720"/>
        <w:jc w:val="both"/>
        <w:rPr>
          <w:rFonts w:ascii="Times New Roman" w:hAnsi="Times New Roman" w:cs="Times New Roman"/>
        </w:rPr>
      </w:pPr>
      <w:r w:rsidRPr="00320ADF">
        <w:rPr>
          <w:rFonts w:ascii="Times New Roman" w:hAnsi="Times New Roman" w:cs="Times New Roman"/>
        </w:rPr>
        <w:t>Industry defendants typically assert many defenses to liability claims.  Most are quite case-specific and well beyond the scope of this chapter.  Two are nearly ubiquitous, however:  standing and displacement.</w:t>
      </w:r>
    </w:p>
    <w:p w:rsidR="007B1306" w:rsidRPr="00320ADF" w:rsidRDefault="007B1306" w:rsidP="005F2650">
      <w:pPr>
        <w:pStyle w:val="ListParagraph"/>
        <w:numPr>
          <w:ilvl w:val="0"/>
          <w:numId w:val="34"/>
        </w:numPr>
        <w:spacing w:line="480" w:lineRule="auto"/>
        <w:jc w:val="both"/>
        <w:rPr>
          <w:b/>
          <w:bCs/>
        </w:rPr>
      </w:pPr>
      <w:r w:rsidRPr="00320ADF">
        <w:rPr>
          <w:b/>
          <w:bCs/>
        </w:rPr>
        <w:t xml:space="preserve">STANDING </w:t>
      </w:r>
      <w:r w:rsidR="00CC10D9" w:rsidRPr="00320ADF">
        <w:rPr>
          <w:b/>
          <w:bCs/>
        </w:rPr>
        <w:t xml:space="preserve">(INCLUDING </w:t>
      </w:r>
      <w:r w:rsidRPr="00320ADF">
        <w:rPr>
          <w:b/>
          <w:bCs/>
        </w:rPr>
        <w:t>REDRESSABILITY</w:t>
      </w:r>
      <w:r w:rsidR="00CC10D9" w:rsidRPr="00320ADF">
        <w:rPr>
          <w:b/>
          <w:bCs/>
        </w:rPr>
        <w:t>)</w:t>
      </w:r>
      <w:r w:rsidRPr="00320ADF">
        <w:rPr>
          <w:b/>
          <w:bCs/>
        </w:rPr>
        <w:t xml:space="preserve"> </w:t>
      </w:r>
    </w:p>
    <w:p w:rsidR="007B1306" w:rsidRPr="00320ADF" w:rsidRDefault="007B1306" w:rsidP="002378CD">
      <w:pPr>
        <w:pStyle w:val="NormalWeb"/>
        <w:spacing w:line="480" w:lineRule="auto"/>
        <w:ind w:firstLine="720"/>
        <w:jc w:val="both"/>
      </w:pPr>
      <w:r w:rsidRPr="00320ADF">
        <w:t>The doctrine of standing require</w:t>
      </w:r>
      <w:r w:rsidR="007C5463">
        <w:t xml:space="preserve">s a </w:t>
      </w:r>
      <w:r w:rsidR="00943F08">
        <w:t xml:space="preserve">litigant to </w:t>
      </w:r>
      <w:r w:rsidR="007C5463">
        <w:t>“</w:t>
      </w:r>
      <w:r w:rsidR="00943F08">
        <w:t>demonstrate that it has suffered a concrete and particularized injury that is either actual or imminent,” is</w:t>
      </w:r>
      <w:r w:rsidRPr="00320ADF">
        <w:t xml:space="preserve"> </w:t>
      </w:r>
      <w:r w:rsidR="00943F08">
        <w:t>“</w:t>
      </w:r>
      <w:r w:rsidRPr="00320ADF">
        <w:t>fairly trac</w:t>
      </w:r>
      <w:r w:rsidR="00943F08">
        <w:t>eable</w:t>
      </w:r>
      <w:r w:rsidRPr="00320ADF">
        <w:t xml:space="preserve"> to the </w:t>
      </w:r>
      <w:r w:rsidR="00943F08">
        <w:t>defendant,” and “it is likely that a favorable decision will redress that injury.”</w:t>
      </w:r>
      <w:r w:rsidRPr="00320ADF">
        <w:rPr>
          <w:rStyle w:val="FootnoteReference"/>
        </w:rPr>
        <w:footnoteReference w:id="102"/>
      </w:r>
      <w:r w:rsidRPr="00320ADF">
        <w:t xml:space="preserve">  </w:t>
      </w:r>
      <w:r w:rsidR="00CC10D9" w:rsidRPr="00320ADF">
        <w:t xml:space="preserve">Sovereigns bringing ARL suits </w:t>
      </w:r>
      <w:r w:rsidR="00404FD9" w:rsidRPr="00320ADF">
        <w:t xml:space="preserve">must </w:t>
      </w:r>
      <w:r w:rsidR="00CC10D9" w:rsidRPr="00320ADF">
        <w:t xml:space="preserve">meet these tests.  </w:t>
      </w:r>
      <w:r w:rsidRPr="00320ADF">
        <w:t>As to the first, sovereigns</w:t>
      </w:r>
      <w:r w:rsidR="00800559">
        <w:t>’</w:t>
      </w:r>
      <w:r w:rsidRPr="00320ADF">
        <w:t xml:space="preserve"> trustee obligations provide </w:t>
      </w:r>
      <w:r w:rsidR="00800559">
        <w:t>government plaintiffs</w:t>
      </w:r>
      <w:r w:rsidR="00800559" w:rsidRPr="00320ADF">
        <w:t xml:space="preserve"> </w:t>
      </w:r>
      <w:r w:rsidRPr="00320ADF">
        <w:t>standing to sue for injury to damaged public trust assets</w:t>
      </w:r>
      <w:r w:rsidR="00800559">
        <w:t>;</w:t>
      </w:r>
      <w:r w:rsidR="002378CD">
        <w:rPr>
          <w:rStyle w:val="FootnoteReference"/>
        </w:rPr>
        <w:footnoteReference w:id="103"/>
      </w:r>
      <w:r w:rsidR="00430644">
        <w:t xml:space="preserve"> the closely related </w:t>
      </w:r>
      <w:proofErr w:type="spellStart"/>
      <w:r w:rsidR="00430644" w:rsidRPr="00943F08">
        <w:rPr>
          <w:i/>
          <w:iCs/>
        </w:rPr>
        <w:t>parens</w:t>
      </w:r>
      <w:proofErr w:type="spellEnd"/>
      <w:r w:rsidR="00430644" w:rsidRPr="00943F08">
        <w:rPr>
          <w:i/>
          <w:iCs/>
        </w:rPr>
        <w:t xml:space="preserve"> patri</w:t>
      </w:r>
      <w:r w:rsidR="00FD68B3">
        <w:rPr>
          <w:i/>
          <w:iCs/>
        </w:rPr>
        <w:t>a</w:t>
      </w:r>
      <w:r w:rsidR="00430644" w:rsidRPr="00943F08">
        <w:rPr>
          <w:i/>
          <w:iCs/>
        </w:rPr>
        <w:t>e</w:t>
      </w:r>
      <w:r w:rsidR="00430644">
        <w:t xml:space="preserve"> doctrine </w:t>
      </w:r>
      <w:r w:rsidR="00800559">
        <w:t>also forms</w:t>
      </w:r>
      <w:r w:rsidR="00430644">
        <w:t xml:space="preserve"> a “mechanism of standing.”</w:t>
      </w:r>
      <w:r w:rsidR="00430644">
        <w:rPr>
          <w:rStyle w:val="FootnoteReference"/>
        </w:rPr>
        <w:footnoteReference w:id="104"/>
      </w:r>
      <w:r w:rsidR="002378CD">
        <w:t xml:space="preserve">  </w:t>
      </w:r>
      <w:r w:rsidR="00CC10D9" w:rsidRPr="00320ADF">
        <w:t>Sovereigns must</w:t>
      </w:r>
      <w:r w:rsidRPr="00320ADF">
        <w:t xml:space="preserve"> educate judges that, with respect to the atmospheric trust, </w:t>
      </w:r>
      <w:r w:rsidR="00AD354E">
        <w:t>t</w:t>
      </w:r>
      <w:r w:rsidR="00AD354E" w:rsidRPr="00320ADF">
        <w:t xml:space="preserve">here is no overarching global trustee, </w:t>
      </w:r>
      <w:r w:rsidR="00AD354E">
        <w:t>but rather</w:t>
      </w:r>
      <w:r w:rsidR="00AD354E" w:rsidRPr="00320ADF">
        <w:t xml:space="preserve"> </w:t>
      </w:r>
      <w:r w:rsidRPr="00320ADF">
        <w:t>multiple co-trustees, connected through a parallel order of trust relationships</w:t>
      </w:r>
      <w:r w:rsidR="00AD354E">
        <w:t xml:space="preserve"> in which </w:t>
      </w:r>
      <w:r w:rsidR="007550AB">
        <w:t>nations and sub-</w:t>
      </w:r>
      <w:r w:rsidR="007550AB">
        <w:lastRenderedPageBreak/>
        <w:t xml:space="preserve">sovereigns </w:t>
      </w:r>
      <w:r w:rsidRPr="00320ADF">
        <w:t>shar</w:t>
      </w:r>
      <w:r w:rsidR="00AD354E">
        <w:t>e</w:t>
      </w:r>
      <w:r w:rsidRPr="00320ADF">
        <w:t xml:space="preserve"> the benefits and obligations relating to the common atmospheric trust</w:t>
      </w:r>
      <w:r w:rsidR="00CC10D9" w:rsidRPr="00320ADF">
        <w:t xml:space="preserve">.  </w:t>
      </w:r>
      <w:r w:rsidRPr="00320ADF">
        <w:t xml:space="preserve"> </w:t>
      </w:r>
      <w:r w:rsidR="00CC10D9" w:rsidRPr="00320ADF">
        <w:t xml:space="preserve">In theory, each </w:t>
      </w:r>
      <w:r w:rsidR="007550AB">
        <w:t xml:space="preserve">sovereign </w:t>
      </w:r>
      <w:r w:rsidRPr="00320ADF">
        <w:t>trustee has standing to sue for restoration costs</w:t>
      </w:r>
      <w:r w:rsidR="00CC10D9" w:rsidRPr="00320ADF">
        <w:t xml:space="preserve"> of the shared asset, the atmosphere</w:t>
      </w:r>
      <w:r w:rsidRPr="00320ADF">
        <w:t>.</w:t>
      </w:r>
      <w:r w:rsidR="007C5463">
        <w:t xml:space="preserve">    </w:t>
      </w:r>
    </w:p>
    <w:p w:rsidR="007B1306" w:rsidRPr="00320ADF" w:rsidRDefault="007B1306" w:rsidP="007B1306">
      <w:pPr>
        <w:pStyle w:val="NormalWeb"/>
        <w:spacing w:line="480" w:lineRule="auto"/>
        <w:ind w:firstLine="720"/>
        <w:jc w:val="both"/>
      </w:pPr>
      <w:r w:rsidRPr="00320ADF">
        <w:t xml:space="preserve">The </w:t>
      </w:r>
      <w:r w:rsidR="00CC10D9" w:rsidRPr="00320ADF">
        <w:t xml:space="preserve">second component of standing, “fairly </w:t>
      </w:r>
      <w:r w:rsidR="00B416E9">
        <w:t>traceable to the defendant</w:t>
      </w:r>
      <w:r w:rsidR="00CC10D9" w:rsidRPr="00320ADF">
        <w:t>,” is likely to be addressed as part of the causation element explored above.  The third</w:t>
      </w:r>
      <w:r w:rsidR="00404FD9" w:rsidRPr="00320ADF">
        <w:t xml:space="preserve"> </w:t>
      </w:r>
      <w:r w:rsidRPr="00320ADF">
        <w:t>component</w:t>
      </w:r>
      <w:r w:rsidR="00404FD9" w:rsidRPr="00320ADF">
        <w:t>, redressability,</w:t>
      </w:r>
      <w:r w:rsidRPr="00320ADF">
        <w:t xml:space="preserve"> requires judicial understanding of the carbon cycle.  In the case of an oil spill or land-based hazardous waste dump cleanup, the remediation is quite obvious to courts.  </w:t>
      </w:r>
      <w:r w:rsidR="00CC10D9" w:rsidRPr="00320ADF">
        <w:t>Sovereign trustees remove the</w:t>
      </w:r>
      <w:r w:rsidRPr="00320ADF">
        <w:t xml:space="preserve"> contamination from the site in a direct and easily observable manner.  Sky cleanup of carbon dioxide is less obvious.  The natural climate solutions (NCS) projects that scrub the atmosphere of </w:t>
      </w:r>
      <w:r w:rsidR="003360E6" w:rsidRPr="00320ADF">
        <w:rPr>
          <w:w w:val="110"/>
        </w:rPr>
        <w:t>CO</w:t>
      </w:r>
      <w:r w:rsidR="003360E6" w:rsidRPr="00410451">
        <w:rPr>
          <w:w w:val="110"/>
          <w:vertAlign w:val="subscript"/>
        </w:rPr>
        <w:t>2</w:t>
      </w:r>
      <w:r w:rsidR="003360E6">
        <w:rPr>
          <w:w w:val="110"/>
          <w:vertAlign w:val="subscript"/>
        </w:rPr>
        <w:t xml:space="preserve"> </w:t>
      </w:r>
      <w:r w:rsidRPr="00320ADF">
        <w:t xml:space="preserve">and sequester </w:t>
      </w:r>
      <w:r w:rsidR="00404FD9" w:rsidRPr="00320ADF">
        <w:t xml:space="preserve">carbon </w:t>
      </w:r>
      <w:r w:rsidRPr="00320ADF">
        <w:t xml:space="preserve">in the soil are the only </w:t>
      </w:r>
      <w:r w:rsidR="00CC10D9" w:rsidRPr="00320ADF">
        <w:t xml:space="preserve">currently </w:t>
      </w:r>
      <w:r w:rsidRPr="00320ADF">
        <w:t>feasible projects to accomplish a sky cleanup.  The importance of a scientifically</w:t>
      </w:r>
      <w:r w:rsidR="00CC10D9" w:rsidRPr="00320ADF">
        <w:t>-</w:t>
      </w:r>
      <w:r w:rsidRPr="00320ADF">
        <w:t>produced Atmospheric Recovery Plan cannot be overestimated, as it serves as the framework providing evidence of redressability, making</w:t>
      </w:r>
      <w:r w:rsidR="00404FD9" w:rsidRPr="00320ADF">
        <w:t xml:space="preserve"> clear</w:t>
      </w:r>
      <w:r w:rsidRPr="00320ADF">
        <w:t xml:space="preserve"> the connection between soils, plants, and drawdown </w:t>
      </w:r>
      <w:r w:rsidR="00404FD9" w:rsidRPr="00320ADF">
        <w:t xml:space="preserve">(cleanup) </w:t>
      </w:r>
      <w:r w:rsidRPr="00320ADF">
        <w:t xml:space="preserve">of atmospheric carbon pollution.   Courts that are able to comprehend the carbon cycle should find this </w:t>
      </w:r>
      <w:r w:rsidR="00CC10D9" w:rsidRPr="00320ADF">
        <w:t xml:space="preserve">general </w:t>
      </w:r>
      <w:r w:rsidRPr="00320ADF">
        <w:t>aspect of redressability satisfied.</w:t>
      </w:r>
      <w:r w:rsidR="000C3500">
        <w:t xml:space="preserve">      </w:t>
      </w:r>
    </w:p>
    <w:p w:rsidR="007B1306" w:rsidRPr="00320ADF" w:rsidRDefault="007B1306" w:rsidP="007B1306">
      <w:pPr>
        <w:spacing w:line="480" w:lineRule="auto"/>
        <w:ind w:firstLine="720"/>
        <w:jc w:val="both"/>
        <w:rPr>
          <w:rFonts w:ascii="Times New Roman" w:eastAsia="Times New Roman" w:hAnsi="Times New Roman" w:cs="Times New Roman"/>
        </w:rPr>
      </w:pPr>
      <w:r w:rsidRPr="00320ADF">
        <w:rPr>
          <w:rFonts w:ascii="Times New Roman" w:hAnsi="Times New Roman" w:cs="Times New Roman"/>
        </w:rPr>
        <w:t xml:space="preserve">Beyond this, there remains the matter of proportionate contribution to a global sky cleanup.  In cases seeking to abate carbon pollution, government or industry defendants often make the claim that climate crisis is a global phenomenon, and that a court order requiring action on the part of one nation, or one state, will not solve the problem -- thus </w:t>
      </w:r>
      <w:r w:rsidR="009E4948" w:rsidRPr="00320ADF">
        <w:rPr>
          <w:rFonts w:ascii="Times New Roman" w:hAnsi="Times New Roman" w:cs="Times New Roman"/>
        </w:rPr>
        <w:t>coming up</w:t>
      </w:r>
      <w:r w:rsidRPr="00320ADF">
        <w:rPr>
          <w:rFonts w:ascii="Times New Roman" w:hAnsi="Times New Roman" w:cs="Times New Roman"/>
        </w:rPr>
        <w:t xml:space="preserve"> short on redressability.  This argument was rejected in </w:t>
      </w:r>
      <w:r w:rsidRPr="00320ADF">
        <w:rPr>
          <w:rFonts w:ascii="Times New Roman" w:hAnsi="Times New Roman" w:cs="Times New Roman"/>
          <w:i/>
          <w:iCs/>
        </w:rPr>
        <w:t>Massachusetts v. EPA</w:t>
      </w:r>
      <w:r w:rsidRPr="00320ADF">
        <w:rPr>
          <w:rFonts w:ascii="Times New Roman" w:hAnsi="Times New Roman" w:cs="Times New Roman"/>
        </w:rPr>
        <w:t xml:space="preserve">, where the U.S. Supreme Court stated that the Bush </w:t>
      </w:r>
      <w:r w:rsidR="00404FD9" w:rsidRPr="00320ADF">
        <w:rPr>
          <w:rFonts w:ascii="Times New Roman" w:hAnsi="Times New Roman" w:cs="Times New Roman"/>
        </w:rPr>
        <w:t xml:space="preserve">II </w:t>
      </w:r>
      <w:r w:rsidRPr="00320ADF">
        <w:rPr>
          <w:rFonts w:ascii="Times New Roman" w:hAnsi="Times New Roman" w:cs="Times New Roman"/>
        </w:rPr>
        <w:t>Administration</w:t>
      </w:r>
      <w:r w:rsidR="0073629F">
        <w:rPr>
          <w:rFonts w:ascii="Times New Roman" w:hAnsi="Times New Roman" w:cs="Times New Roman"/>
        </w:rPr>
        <w:t xml:space="preserve"> defendants propounded</w:t>
      </w:r>
      <w:r w:rsidRPr="00320ADF">
        <w:rPr>
          <w:rFonts w:ascii="Times New Roman" w:hAnsi="Times New Roman" w:cs="Times New Roman"/>
        </w:rPr>
        <w:t xml:space="preserve"> </w:t>
      </w:r>
      <w:r w:rsidR="0073629F">
        <w:rPr>
          <w:rFonts w:ascii="Times New Roman" w:hAnsi="Times New Roman" w:cs="Times New Roman"/>
        </w:rPr>
        <w:t>“</w:t>
      </w:r>
      <w:r w:rsidRPr="00320ADF">
        <w:rPr>
          <w:rFonts w:ascii="Times New Roman" w:eastAsia="Times New Roman" w:hAnsi="Times New Roman" w:cs="Times New Roman"/>
        </w:rPr>
        <w:t xml:space="preserve">the erroneous assumption that a small incremental step, because it is incremental, can never be attacked in a federal judicial forum. Yet accepting that </w:t>
      </w:r>
      <w:r w:rsidRPr="00320ADF">
        <w:rPr>
          <w:rFonts w:ascii="Times New Roman" w:eastAsia="Times New Roman" w:hAnsi="Times New Roman" w:cs="Times New Roman"/>
        </w:rPr>
        <w:lastRenderedPageBreak/>
        <w:t>premise would doom most challenges to regulatory action.”</w:t>
      </w:r>
      <w:r w:rsidRPr="00320ADF">
        <w:rPr>
          <w:rStyle w:val="FootnoteReference"/>
          <w:rFonts w:ascii="Times New Roman" w:eastAsia="Times New Roman" w:hAnsi="Times New Roman" w:cs="Times New Roman"/>
        </w:rPr>
        <w:footnoteReference w:id="105"/>
      </w:r>
      <w:r w:rsidRPr="00320ADF">
        <w:rPr>
          <w:rFonts w:ascii="Times New Roman" w:eastAsia="Times New Roman" w:hAnsi="Times New Roman" w:cs="Times New Roman"/>
        </w:rPr>
        <w:t xml:space="preserve">  </w:t>
      </w:r>
      <w:r w:rsidRPr="00320ADF">
        <w:rPr>
          <w:rFonts w:ascii="Times New Roman" w:hAnsi="Times New Roman" w:cs="Times New Roman"/>
        </w:rPr>
        <w:t xml:space="preserve">Increasingly, courts hold individual sovereigns accountable for the pollution coming from their jurisdiction.  In the Netherlands, an appeals court rejected the government’s argument that the nation’s emissions were so small (less than .1% of global emissions) as to be non-redressable, stating, </w:t>
      </w:r>
      <w:r w:rsidRPr="00320ADF">
        <w:rPr>
          <w:rFonts w:ascii="Times New Roman" w:eastAsia="Times New Roman" w:hAnsi="Times New Roman" w:cs="Times New Roman"/>
        </w:rPr>
        <w:t xml:space="preserve">“[I]t has been established that any anthropogenic greenhouse gas emission, no matter how minor, contributes to an increase in </w:t>
      </w:r>
      <w:r w:rsidR="003360E6" w:rsidRPr="00320ADF">
        <w:rPr>
          <w:w w:val="110"/>
        </w:rPr>
        <w:t>CO</w:t>
      </w:r>
      <w:r w:rsidR="003360E6" w:rsidRPr="00410451">
        <w:rPr>
          <w:w w:val="110"/>
          <w:vertAlign w:val="subscript"/>
        </w:rPr>
        <w:t>2</w:t>
      </w:r>
      <w:r w:rsidR="003360E6">
        <w:rPr>
          <w:w w:val="110"/>
          <w:vertAlign w:val="subscript"/>
        </w:rPr>
        <w:t xml:space="preserve"> </w:t>
      </w:r>
      <w:r w:rsidRPr="00320ADF">
        <w:rPr>
          <w:rFonts w:ascii="Times New Roman" w:eastAsia="Times New Roman" w:hAnsi="Times New Roman" w:cs="Times New Roman"/>
        </w:rPr>
        <w:t>levels in the atmosphere and therefore to hazardous climate change.”</w:t>
      </w:r>
      <w:r w:rsidRPr="00320ADF">
        <w:rPr>
          <w:rStyle w:val="FootnoteReference"/>
          <w:rFonts w:ascii="Times New Roman" w:eastAsia="Times New Roman" w:hAnsi="Times New Roman" w:cs="Times New Roman"/>
        </w:rPr>
        <w:footnoteReference w:id="106"/>
      </w:r>
      <w:r w:rsidRPr="00320ADF">
        <w:rPr>
          <w:rFonts w:ascii="Times New Roman" w:eastAsia="Times New Roman" w:hAnsi="Times New Roman" w:cs="Times New Roman"/>
        </w:rPr>
        <w:t xml:space="preserve"> </w:t>
      </w:r>
    </w:p>
    <w:p w:rsidR="007B1306" w:rsidRPr="00320ADF" w:rsidRDefault="007B1306" w:rsidP="00E54667">
      <w:pPr>
        <w:pStyle w:val="NormalWeb"/>
        <w:spacing w:before="0" w:beforeAutospacing="0" w:after="0" w:afterAutospacing="0" w:line="480" w:lineRule="auto"/>
        <w:ind w:firstLine="720"/>
        <w:jc w:val="both"/>
      </w:pPr>
      <w:r w:rsidRPr="00320ADF">
        <w:t xml:space="preserve">The redressability argument, of course, takes a slightly different twist in ARL cases as distinguished from ATL cases.  In the latter, government defendants emphasize the small proportionate share of emissions. </w:t>
      </w:r>
      <w:r w:rsidR="00A04C60" w:rsidRPr="00320ADF">
        <w:t xml:space="preserve"> </w:t>
      </w:r>
      <w:r w:rsidRPr="00320ADF">
        <w:t xml:space="preserve">In ARL, the argument focuses on cleanup.  It is certainly true that no single jurisdiction can accomplish </w:t>
      </w:r>
      <w:r w:rsidR="009E4948" w:rsidRPr="00320ADF">
        <w:t xml:space="preserve">even </w:t>
      </w:r>
      <w:r w:rsidR="00A04C60" w:rsidRPr="00320ADF">
        <w:t>close to the lion’s</w:t>
      </w:r>
      <w:r w:rsidR="009E4948" w:rsidRPr="00320ADF">
        <w:t xml:space="preserve"> share of </w:t>
      </w:r>
      <w:r w:rsidRPr="00320ADF">
        <w:t xml:space="preserve">atmospheric cleanup.  Rather, the global effort requires </w:t>
      </w:r>
      <w:r w:rsidRPr="00320ADF">
        <w:rPr>
          <w:i/>
          <w:iCs/>
        </w:rPr>
        <w:t>all situated jurisdictions</w:t>
      </w:r>
      <w:r w:rsidRPr="00320ADF">
        <w:t xml:space="preserve"> (those with land sequestration potential) to participate.   </w:t>
      </w:r>
      <w:r w:rsidR="00A04C60" w:rsidRPr="00320ADF">
        <w:t xml:space="preserve">But environmental law already has the tools for a multi-jurisdictional approach to liability and restoration. </w:t>
      </w:r>
      <w:r w:rsidRPr="00320ADF">
        <w:t xml:space="preserve"> In the context of species recovery, it is often the case that</w:t>
      </w:r>
      <w:r w:rsidR="007C3F3C">
        <w:t>,</w:t>
      </w:r>
      <w:r w:rsidRPr="00320ADF">
        <w:t xml:space="preserve"> </w:t>
      </w:r>
      <w:r w:rsidR="00404FD9" w:rsidRPr="00320ADF">
        <w:t xml:space="preserve">because </w:t>
      </w:r>
      <w:r w:rsidRPr="00320ADF">
        <w:t>no one sovereign can recover the species</w:t>
      </w:r>
      <w:r w:rsidR="009E4948" w:rsidRPr="00320ADF">
        <w:t xml:space="preserve">, </w:t>
      </w:r>
      <w:r w:rsidR="00A04C60" w:rsidRPr="00320ADF">
        <w:t>full recovery requires</w:t>
      </w:r>
      <w:r w:rsidR="009E4948" w:rsidRPr="00320ADF">
        <w:t xml:space="preserve"> cross-</w:t>
      </w:r>
      <w:r w:rsidRPr="00320ADF">
        <w:t xml:space="preserve">participation </w:t>
      </w:r>
      <w:r w:rsidR="009E4948" w:rsidRPr="00320ADF">
        <w:t>by multiple</w:t>
      </w:r>
      <w:r w:rsidRPr="00320ADF">
        <w:t xml:space="preserve"> sovereigns.  The same is true with an oil spill that migrates between jurisdictional borders.  </w:t>
      </w:r>
      <w:r w:rsidR="00306BEC" w:rsidRPr="00320ADF">
        <w:t xml:space="preserve">In </w:t>
      </w:r>
      <w:r w:rsidR="00A04C60" w:rsidRPr="00320ADF">
        <w:t>the</w:t>
      </w:r>
      <w:r w:rsidR="00306BEC" w:rsidRPr="00320ADF">
        <w:t xml:space="preserve"> atmospheric cleanup context, the contribution of any one region will be fractional – yet each is instrumental to full drawdown of excess atmospheric carbon.  Judges understanding the realities of climate </w:t>
      </w:r>
      <w:r w:rsidR="00A04C60" w:rsidRPr="00320ADF">
        <w:t>science should eschew</w:t>
      </w:r>
      <w:r w:rsidR="00306BEC" w:rsidRPr="00320ADF">
        <w:t xml:space="preserve"> </w:t>
      </w:r>
      <w:r w:rsidR="00A04C60" w:rsidRPr="00320ADF">
        <w:t>rigid</w:t>
      </w:r>
      <w:r w:rsidR="00306BEC" w:rsidRPr="00320ADF">
        <w:t xml:space="preserve"> approaches but rather interpret </w:t>
      </w:r>
      <w:r w:rsidR="00A04C60" w:rsidRPr="00320ADF">
        <w:t>the redressability requirement</w:t>
      </w:r>
      <w:r w:rsidR="00306BEC" w:rsidRPr="00320ADF">
        <w:t xml:space="preserve"> </w:t>
      </w:r>
      <w:r w:rsidR="00A04C60" w:rsidRPr="00320ADF">
        <w:t>within</w:t>
      </w:r>
      <w:r w:rsidR="00306BEC" w:rsidRPr="00320ADF">
        <w:t xml:space="preserve"> the constraints that nature’s laws impose on human society.   </w:t>
      </w:r>
      <w:r w:rsidR="00404FD9" w:rsidRPr="00320ADF">
        <w:t>F</w:t>
      </w:r>
      <w:r w:rsidRPr="00320ADF">
        <w:t xml:space="preserve">ailure to hold responsible corporations financially liable for atmospheric cleanup perpetuates the status quo </w:t>
      </w:r>
      <w:r w:rsidR="00AC0CAB" w:rsidRPr="00320ADF">
        <w:t xml:space="preserve">that </w:t>
      </w:r>
      <w:r w:rsidRPr="00320ADF">
        <w:t xml:space="preserve">rapidly </w:t>
      </w:r>
      <w:r w:rsidR="00404FD9" w:rsidRPr="00320ADF">
        <w:t xml:space="preserve">veers </w:t>
      </w:r>
      <w:r w:rsidRPr="00320ADF">
        <w:t xml:space="preserve">towards a scenario of </w:t>
      </w:r>
      <w:r w:rsidR="00404FD9" w:rsidRPr="00320ADF">
        <w:t>uncontrollable</w:t>
      </w:r>
      <w:r w:rsidRPr="00320ADF">
        <w:t xml:space="preserve"> planetary heating. </w:t>
      </w:r>
    </w:p>
    <w:p w:rsidR="007B1306" w:rsidRPr="00320ADF" w:rsidRDefault="007B1306" w:rsidP="00E54667">
      <w:pPr>
        <w:pStyle w:val="ListParagraph"/>
        <w:numPr>
          <w:ilvl w:val="0"/>
          <w:numId w:val="34"/>
        </w:numPr>
        <w:spacing w:line="480" w:lineRule="auto"/>
        <w:jc w:val="both"/>
        <w:rPr>
          <w:b/>
          <w:bCs/>
        </w:rPr>
      </w:pPr>
      <w:r w:rsidRPr="00320ADF">
        <w:rPr>
          <w:b/>
          <w:bCs/>
        </w:rPr>
        <w:lastRenderedPageBreak/>
        <w:t xml:space="preserve">DISPLACEMENT </w:t>
      </w:r>
    </w:p>
    <w:p w:rsidR="007B1306" w:rsidRPr="00320ADF" w:rsidRDefault="007B1306" w:rsidP="00E54667">
      <w:pPr>
        <w:pStyle w:val="NormalWeb"/>
        <w:spacing w:before="0" w:beforeAutospacing="0" w:after="0" w:afterAutospacing="0" w:line="480" w:lineRule="auto"/>
        <w:ind w:firstLine="720"/>
        <w:jc w:val="both"/>
        <w:rPr>
          <w:w w:val="110"/>
        </w:rPr>
      </w:pPr>
      <w:r w:rsidRPr="00320ADF">
        <w:t xml:space="preserve">A second defense perpetually raised by defendants in climate cases is that of displacement, which asserts that a statute (typically the Clean Air Act) has “displaced” common law, rendering the latter ineffectual as a basis for a claim.  </w:t>
      </w:r>
      <w:r w:rsidRPr="00320ADF">
        <w:rPr>
          <w:w w:val="110"/>
        </w:rPr>
        <w:t xml:space="preserve">In the leading </w:t>
      </w:r>
      <w:r w:rsidRPr="00320ADF">
        <w:rPr>
          <w:i/>
          <w:w w:val="104"/>
        </w:rPr>
        <w:t>A</w:t>
      </w:r>
      <w:r w:rsidRPr="00320ADF">
        <w:rPr>
          <w:i/>
          <w:w w:val="110"/>
        </w:rPr>
        <w:t>m</w:t>
      </w:r>
      <w:r w:rsidRPr="00320ADF">
        <w:rPr>
          <w:i/>
        </w:rPr>
        <w:t>eri</w:t>
      </w:r>
      <w:r w:rsidRPr="00320ADF">
        <w:rPr>
          <w:i/>
          <w:w w:val="107"/>
        </w:rPr>
        <w:t>c</w:t>
      </w:r>
      <w:r w:rsidRPr="00320ADF">
        <w:rPr>
          <w:i/>
        </w:rPr>
        <w:t xml:space="preserve">an </w:t>
      </w:r>
      <w:r w:rsidRPr="00320ADF">
        <w:rPr>
          <w:i/>
          <w:w w:val="104"/>
        </w:rPr>
        <w:t>E</w:t>
      </w:r>
      <w:r w:rsidRPr="00320ADF">
        <w:rPr>
          <w:i/>
          <w:w w:val="95"/>
        </w:rPr>
        <w:t>l</w:t>
      </w:r>
      <w:r w:rsidRPr="00320ADF">
        <w:rPr>
          <w:i/>
          <w:w w:val="107"/>
        </w:rPr>
        <w:t>ec</w:t>
      </w:r>
      <w:r w:rsidRPr="00320ADF">
        <w:rPr>
          <w:i/>
          <w:w w:val="114"/>
        </w:rPr>
        <w:t>t</w:t>
      </w:r>
      <w:r w:rsidRPr="00320ADF">
        <w:rPr>
          <w:i/>
          <w:w w:val="95"/>
        </w:rPr>
        <w:t>ri</w:t>
      </w:r>
      <w:r w:rsidRPr="00320ADF">
        <w:rPr>
          <w:i/>
          <w:w w:val="107"/>
        </w:rPr>
        <w:t>c</w:t>
      </w:r>
      <w:r w:rsidRPr="00320ADF">
        <w:rPr>
          <w:i/>
        </w:rPr>
        <w:t xml:space="preserve"> </w:t>
      </w:r>
      <w:r w:rsidRPr="00320ADF">
        <w:rPr>
          <w:i/>
          <w:w w:val="95"/>
        </w:rPr>
        <w:t>P</w:t>
      </w:r>
      <w:r w:rsidRPr="00320ADF">
        <w:rPr>
          <w:i/>
          <w:w w:val="106"/>
        </w:rPr>
        <w:t>o</w:t>
      </w:r>
      <w:r w:rsidRPr="00320ADF">
        <w:rPr>
          <w:i/>
          <w:w w:val="109"/>
        </w:rPr>
        <w:t>we</w:t>
      </w:r>
      <w:r w:rsidRPr="00320ADF">
        <w:rPr>
          <w:i/>
          <w:w w:val="95"/>
        </w:rPr>
        <w:t>r</w:t>
      </w:r>
      <w:r w:rsidRPr="00320ADF">
        <w:rPr>
          <w:i/>
        </w:rPr>
        <w:t xml:space="preserve"> </w:t>
      </w:r>
      <w:r w:rsidR="0034418F" w:rsidRPr="00320ADF">
        <w:rPr>
          <w:iCs/>
          <w:w w:val="95"/>
        </w:rPr>
        <w:t>case</w:t>
      </w:r>
      <w:r w:rsidR="00410451">
        <w:rPr>
          <w:iCs/>
        </w:rPr>
        <w:t>,</w:t>
      </w:r>
      <w:r w:rsidRPr="00320ADF">
        <w:rPr>
          <w:i/>
        </w:rPr>
        <w:t xml:space="preserve"> </w:t>
      </w:r>
      <w:r w:rsidRPr="00320ADF">
        <w:rPr>
          <w:iCs/>
        </w:rPr>
        <w:t>the</w:t>
      </w:r>
      <w:r w:rsidRPr="00320ADF">
        <w:rPr>
          <w:w w:val="110"/>
        </w:rPr>
        <w:t xml:space="preserve"> U.S. Supreme Court found that the Clean Air Act, which authorized the</w:t>
      </w:r>
      <w:r w:rsidRPr="00320ADF">
        <w:rPr>
          <w:noProof/>
        </w:rPr>
        <mc:AlternateContent>
          <mc:Choice Requires="wps">
            <w:drawing>
              <wp:anchor distT="0" distB="0" distL="114300" distR="114300" simplePos="0" relativeHeight="251659264" behindDoc="1" locked="0" layoutInCell="1" allowOverlap="1" wp14:anchorId="22C4E0DE" wp14:editId="75F3647D">
                <wp:simplePos x="0" y="0"/>
                <wp:positionH relativeFrom="page">
                  <wp:posOffset>4385310</wp:posOffset>
                </wp:positionH>
                <wp:positionV relativeFrom="paragraph">
                  <wp:posOffset>400050</wp:posOffset>
                </wp:positionV>
                <wp:extent cx="31750" cy="7239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750" cy="7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159" w:rsidRDefault="00401159" w:rsidP="007B1306">
                            <w:pPr>
                              <w:spacing w:line="113" w:lineRule="exact"/>
                              <w:rPr>
                                <w:sz w:val="10"/>
                              </w:rPr>
                            </w:pPr>
                            <w:r>
                              <w:rPr>
                                <w:w w:val="99"/>
                                <w:sz w:val="1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4E0DE" id="_x0000_t202" coordsize="21600,21600" o:spt="202" path="m,l,21600r21600,l21600,xe">
                <v:stroke joinstyle="miter"/>
                <v:path gradientshapeok="t" o:connecttype="rect"/>
              </v:shapetype>
              <v:shape id="Text Box 21" o:spid="_x0000_s1026" type="#_x0000_t202" style="position:absolute;left:0;text-align:left;margin-left:345.3pt;margin-top:31.5pt;width:2.5pt;height:5.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" filled="f" stroked="f">
                <v:path arrowok="t"/>
                <v:textbox inset="0,0,0,0">
                  <w:txbxContent>
                    <w:p w:rsidR="00401159" w:rsidRDefault="00401159" w:rsidP="007B1306">
                      <w:pPr>
                        <w:spacing w:line="113" w:lineRule="exact"/>
                        <w:rPr>
                          <w:sz w:val="10"/>
                        </w:rPr>
                      </w:pPr>
                      <w:r>
                        <w:rPr>
                          <w:w w:val="99"/>
                          <w:sz w:val="10"/>
                        </w:rPr>
                        <w:t>2</w:t>
                      </w:r>
                    </w:p>
                  </w:txbxContent>
                </v:textbox>
                <w10:wrap anchorx="page"/>
              </v:shape>
            </w:pict>
          </mc:Fallback>
        </mc:AlternateContent>
      </w:r>
      <w:r w:rsidRPr="00320ADF">
        <w:t xml:space="preserve"> </w:t>
      </w:r>
      <w:r w:rsidRPr="00320ADF">
        <w:rPr>
          <w:w w:val="110"/>
        </w:rPr>
        <w:t>U.S. Environmental Protection Agency (EPA) to regulate CO</w:t>
      </w:r>
      <w:r w:rsidRPr="00410451">
        <w:rPr>
          <w:w w:val="110"/>
          <w:position w:val="-4"/>
          <w:vertAlign w:val="subscript"/>
        </w:rPr>
        <w:t>2</w:t>
      </w:r>
      <w:r w:rsidRPr="00320ADF">
        <w:rPr>
          <w:w w:val="110"/>
          <w:position w:val="-4"/>
        </w:rPr>
        <w:t xml:space="preserve"> </w:t>
      </w:r>
      <w:r w:rsidRPr="00320ADF">
        <w:rPr>
          <w:w w:val="110"/>
        </w:rPr>
        <w:t>emissions, displaced a suit asserting common law nuisance claims against major CO</w:t>
      </w:r>
      <w:r w:rsidRPr="00410451">
        <w:rPr>
          <w:w w:val="110"/>
          <w:vertAlign w:val="subscript"/>
        </w:rPr>
        <w:t>2</w:t>
      </w:r>
      <w:r w:rsidRPr="00320ADF">
        <w:rPr>
          <w:w w:val="110"/>
        </w:rPr>
        <w:t xml:space="preserve"> emitters despite the fact that EPA had not actually regulated the </w:t>
      </w:r>
      <w:r w:rsidR="007C3F3C" w:rsidRPr="00320ADF">
        <w:rPr>
          <w:w w:val="110"/>
        </w:rPr>
        <w:t>CO</w:t>
      </w:r>
      <w:r w:rsidR="007C3F3C" w:rsidRPr="00410451">
        <w:rPr>
          <w:w w:val="110"/>
          <w:vertAlign w:val="subscript"/>
        </w:rPr>
        <w:t>2</w:t>
      </w:r>
      <w:r w:rsidR="007C3F3C">
        <w:rPr>
          <w:w w:val="110"/>
          <w:vertAlign w:val="subscript"/>
        </w:rPr>
        <w:t xml:space="preserve"> </w:t>
      </w:r>
      <w:r w:rsidRPr="00320ADF">
        <w:rPr>
          <w:w w:val="110"/>
        </w:rPr>
        <w:t>emissions.</w:t>
      </w:r>
      <w:r w:rsidRPr="00320ADF">
        <w:rPr>
          <w:rStyle w:val="FootnoteReference"/>
          <w:w w:val="110"/>
        </w:rPr>
        <w:footnoteReference w:id="107"/>
      </w:r>
      <w:r w:rsidRPr="00320ADF">
        <w:rPr>
          <w:w w:val="110"/>
        </w:rPr>
        <w:t xml:space="preserve">  </w:t>
      </w:r>
      <w:r w:rsidRPr="00320ADF">
        <w:t xml:space="preserve">Several climate cases, </w:t>
      </w:r>
      <w:r w:rsidR="0034418F" w:rsidRPr="00320ADF">
        <w:t>including</w:t>
      </w:r>
      <w:r w:rsidRPr="00320ADF">
        <w:t xml:space="preserve"> some of the </w:t>
      </w:r>
      <w:r w:rsidR="0034418F" w:rsidRPr="00320ADF">
        <w:t xml:space="preserve">second-generation </w:t>
      </w:r>
      <w:r w:rsidRPr="00320ADF">
        <w:t>nuisance cases describe</w:t>
      </w:r>
      <w:r w:rsidR="0034418F" w:rsidRPr="00320ADF">
        <w:t>d</w:t>
      </w:r>
      <w:r w:rsidRPr="00320ADF">
        <w:t xml:space="preserve"> above, have fallen into the displacement trap, and several</w:t>
      </w:r>
      <w:r w:rsidRPr="00320ADF">
        <w:rPr>
          <w:w w:val="110"/>
        </w:rPr>
        <w:t xml:space="preserve"> appeals are pending. </w:t>
      </w:r>
      <w:r w:rsidR="00410451">
        <w:rPr>
          <w:w w:val="110"/>
        </w:rPr>
        <w:t xml:space="preserve"> </w:t>
      </w:r>
      <w:r w:rsidRPr="00320ADF">
        <w:t xml:space="preserve">As Professor Katrina </w:t>
      </w:r>
      <w:proofErr w:type="spellStart"/>
      <w:r w:rsidRPr="00320ADF">
        <w:t>Kuh</w:t>
      </w:r>
      <w:proofErr w:type="spellEnd"/>
      <w:r w:rsidRPr="00320ADF">
        <w:t xml:space="preserve"> observes, dismissals on the basis of displacement represent fundamental “judicial climate avoidance.”</w:t>
      </w:r>
      <w:r w:rsidRPr="00320ADF">
        <w:rPr>
          <w:rStyle w:val="FootnoteReference"/>
        </w:rPr>
        <w:footnoteReference w:id="108"/>
      </w:r>
      <w:r w:rsidRPr="00320ADF">
        <w:t xml:space="preserve">  </w:t>
      </w:r>
    </w:p>
    <w:p w:rsidR="007B1306" w:rsidRPr="00320ADF" w:rsidRDefault="007B1306" w:rsidP="00410451">
      <w:pPr>
        <w:pStyle w:val="NormalWeb"/>
        <w:spacing w:after="240" w:afterAutospacing="0" w:line="480" w:lineRule="auto"/>
        <w:ind w:firstLine="720"/>
        <w:jc w:val="both"/>
        <w:rPr>
          <w:w w:val="110"/>
          <w:position w:val="10"/>
        </w:rPr>
      </w:pPr>
      <w:r w:rsidRPr="00320ADF">
        <w:rPr>
          <w:w w:val="110"/>
        </w:rPr>
        <w:t xml:space="preserve">Notably, however, the </w:t>
      </w:r>
      <w:r w:rsidRPr="00320ADF">
        <w:rPr>
          <w:i/>
          <w:iCs/>
          <w:w w:val="110"/>
        </w:rPr>
        <w:t>AEP</w:t>
      </w:r>
      <w:r w:rsidRPr="00320ADF">
        <w:rPr>
          <w:w w:val="110"/>
        </w:rPr>
        <w:t xml:space="preserve"> decision did not suggest that displacement could extend to another, entirely separate, cause of action.  Sovereigns seeking damages for cleanup of the atmosphere should distinguish NRD claims from the common law nuisance claims that have encountered obstacles, for the two stand in stark contrast. The interests of future generations – forming the core of a public trust action -- are never captured in a nuisance test, which focuses on present interference with a particular right held by the</w:t>
      </w:r>
      <w:r w:rsidRPr="00320ADF">
        <w:rPr>
          <w:spacing w:val="-28"/>
          <w:w w:val="110"/>
        </w:rPr>
        <w:t xml:space="preserve"> </w:t>
      </w:r>
      <w:r w:rsidRPr="00320ADF">
        <w:rPr>
          <w:w w:val="110"/>
        </w:rPr>
        <w:t>citizens.  Moreover, the public trust represents a sovereign obligation that cannot be displaced by statute.  As the</w:t>
      </w:r>
      <w:r w:rsidRPr="00320ADF">
        <w:t xml:space="preserve"> </w:t>
      </w:r>
      <w:r w:rsidRPr="00320ADF">
        <w:rPr>
          <w:i/>
          <w:iCs/>
        </w:rPr>
        <w:t>Juliana</w:t>
      </w:r>
      <w:r w:rsidRPr="00320ADF">
        <w:t xml:space="preserve"> court observed, </w:t>
      </w:r>
    </w:p>
    <w:p w:rsidR="00CA0437" w:rsidRDefault="007B1306" w:rsidP="00A814EF">
      <w:pPr>
        <w:autoSpaceDE w:val="0"/>
        <w:autoSpaceDN w:val="0"/>
        <w:adjustRightInd w:val="0"/>
        <w:spacing w:line="276" w:lineRule="auto"/>
        <w:ind w:left="720" w:right="870"/>
        <w:jc w:val="both"/>
        <w:rPr>
          <w:rFonts w:ascii="Times New Roman" w:hAnsi="Times New Roman" w:cs="Times New Roman"/>
          <w:spacing w:val="-1"/>
          <w:w w:val="109"/>
        </w:rPr>
      </w:pPr>
      <w:r w:rsidRPr="00320ADF">
        <w:rPr>
          <w:rFonts w:ascii="Times New Roman" w:hAnsi="Times New Roman" w:cs="Times New Roman"/>
          <w:w w:val="110"/>
        </w:rPr>
        <w:t xml:space="preserve">In </w:t>
      </w:r>
      <w:r w:rsidRPr="00320ADF">
        <w:rPr>
          <w:rFonts w:ascii="Times New Roman" w:hAnsi="Times New Roman" w:cs="Times New Roman"/>
          <w:i/>
          <w:w w:val="110"/>
        </w:rPr>
        <w:t>AEP,</w:t>
      </w:r>
      <w:r w:rsidRPr="00320ADF">
        <w:rPr>
          <w:rFonts w:ascii="Times New Roman" w:hAnsi="Times New Roman" w:cs="Times New Roman"/>
          <w:i/>
          <w:spacing w:val="-22"/>
          <w:w w:val="110"/>
        </w:rPr>
        <w:t xml:space="preserve"> </w:t>
      </w:r>
      <w:r w:rsidRPr="00320ADF">
        <w:rPr>
          <w:rFonts w:ascii="Times New Roman" w:hAnsi="Times New Roman" w:cs="Times New Roman"/>
          <w:w w:val="110"/>
        </w:rPr>
        <w:t>the</w:t>
      </w:r>
      <w:r w:rsidRPr="00320ADF">
        <w:rPr>
          <w:rFonts w:ascii="Times New Roman" w:hAnsi="Times New Roman" w:cs="Times New Roman"/>
          <w:spacing w:val="-1"/>
          <w:w w:val="107"/>
        </w:rPr>
        <w:t xml:space="preserve"> </w:t>
      </w:r>
      <w:r w:rsidRPr="00320ADF">
        <w:rPr>
          <w:rFonts w:ascii="Times New Roman" w:hAnsi="Times New Roman" w:cs="Times New Roman"/>
          <w:w w:val="110"/>
        </w:rPr>
        <w:t>Court</w:t>
      </w:r>
      <w:r w:rsidRPr="00320ADF">
        <w:rPr>
          <w:rFonts w:ascii="Times New Roman" w:hAnsi="Times New Roman" w:cs="Times New Roman"/>
          <w:spacing w:val="-11"/>
          <w:w w:val="110"/>
        </w:rPr>
        <w:t xml:space="preserve"> </w:t>
      </w:r>
      <w:r w:rsidRPr="00320ADF">
        <w:rPr>
          <w:rFonts w:ascii="Times New Roman" w:hAnsi="Times New Roman" w:cs="Times New Roman"/>
          <w:w w:val="110"/>
        </w:rPr>
        <w:t>did</w:t>
      </w:r>
      <w:r w:rsidRPr="00320ADF">
        <w:rPr>
          <w:rFonts w:ascii="Times New Roman" w:hAnsi="Times New Roman" w:cs="Times New Roman"/>
          <w:spacing w:val="-4"/>
          <w:w w:val="110"/>
        </w:rPr>
        <w:t xml:space="preserve"> </w:t>
      </w:r>
      <w:r w:rsidRPr="00320ADF">
        <w:rPr>
          <w:rFonts w:ascii="Times New Roman" w:hAnsi="Times New Roman" w:cs="Times New Roman"/>
          <w:w w:val="110"/>
        </w:rPr>
        <w:t>not</w:t>
      </w:r>
      <w:r w:rsidRPr="00320ADF">
        <w:rPr>
          <w:rFonts w:ascii="Times New Roman" w:hAnsi="Times New Roman" w:cs="Times New Roman"/>
          <w:spacing w:val="-9"/>
          <w:w w:val="110"/>
        </w:rPr>
        <w:t xml:space="preserve"> </w:t>
      </w:r>
      <w:r w:rsidRPr="00320ADF">
        <w:rPr>
          <w:rFonts w:ascii="Times New Roman" w:hAnsi="Times New Roman" w:cs="Times New Roman"/>
          <w:w w:val="110"/>
        </w:rPr>
        <w:t>have</w:t>
      </w:r>
      <w:r w:rsidRPr="00320ADF">
        <w:rPr>
          <w:rFonts w:ascii="Times New Roman" w:hAnsi="Times New Roman" w:cs="Times New Roman"/>
          <w:spacing w:val="-4"/>
          <w:w w:val="110"/>
        </w:rPr>
        <w:t xml:space="preserve"> </w:t>
      </w:r>
      <w:r w:rsidRPr="00320ADF">
        <w:rPr>
          <w:rFonts w:ascii="Times New Roman" w:hAnsi="Times New Roman" w:cs="Times New Roman"/>
          <w:w w:val="110"/>
        </w:rPr>
        <w:t>public</w:t>
      </w:r>
      <w:r w:rsidRPr="00320ADF">
        <w:rPr>
          <w:rFonts w:ascii="Times New Roman" w:hAnsi="Times New Roman" w:cs="Times New Roman"/>
          <w:spacing w:val="-2"/>
          <w:w w:val="110"/>
        </w:rPr>
        <w:t xml:space="preserve"> </w:t>
      </w:r>
      <w:r w:rsidRPr="00320ADF">
        <w:rPr>
          <w:rFonts w:ascii="Times New Roman" w:hAnsi="Times New Roman" w:cs="Times New Roman"/>
          <w:w w:val="110"/>
        </w:rPr>
        <w:t>trust</w:t>
      </w:r>
      <w:r w:rsidRPr="00320ADF">
        <w:rPr>
          <w:rFonts w:ascii="Times New Roman" w:hAnsi="Times New Roman" w:cs="Times New Roman"/>
          <w:spacing w:val="-1"/>
          <w:w w:val="110"/>
        </w:rPr>
        <w:t xml:space="preserve"> </w:t>
      </w:r>
      <w:r w:rsidRPr="00320ADF">
        <w:rPr>
          <w:rFonts w:ascii="Times New Roman" w:hAnsi="Times New Roman" w:cs="Times New Roman"/>
          <w:w w:val="110"/>
        </w:rPr>
        <w:t>claims</w:t>
      </w:r>
      <w:r w:rsidRPr="00320ADF">
        <w:rPr>
          <w:rFonts w:ascii="Times New Roman" w:hAnsi="Times New Roman" w:cs="Times New Roman"/>
          <w:spacing w:val="8"/>
          <w:w w:val="110"/>
        </w:rPr>
        <w:t xml:space="preserve"> </w:t>
      </w:r>
      <w:r w:rsidRPr="00320ADF">
        <w:rPr>
          <w:rFonts w:ascii="Times New Roman" w:hAnsi="Times New Roman" w:cs="Times New Roman"/>
          <w:w w:val="110"/>
        </w:rPr>
        <w:t>before</w:t>
      </w:r>
      <w:r w:rsidRPr="00320ADF">
        <w:rPr>
          <w:rFonts w:ascii="Times New Roman" w:hAnsi="Times New Roman" w:cs="Times New Roman"/>
          <w:spacing w:val="-5"/>
          <w:w w:val="110"/>
        </w:rPr>
        <w:t xml:space="preserve"> </w:t>
      </w:r>
      <w:r w:rsidRPr="00320ADF">
        <w:rPr>
          <w:rFonts w:ascii="Times New Roman" w:hAnsi="Times New Roman" w:cs="Times New Roman"/>
          <w:w w:val="110"/>
        </w:rPr>
        <w:t>it</w:t>
      </w:r>
      <w:r w:rsidRPr="00320ADF">
        <w:rPr>
          <w:rFonts w:ascii="Times New Roman" w:hAnsi="Times New Roman" w:cs="Times New Roman"/>
          <w:spacing w:val="-8"/>
          <w:w w:val="110"/>
        </w:rPr>
        <w:t xml:space="preserve"> </w:t>
      </w:r>
      <w:r w:rsidRPr="00320ADF">
        <w:rPr>
          <w:rFonts w:ascii="Times New Roman" w:hAnsi="Times New Roman" w:cs="Times New Roman"/>
          <w:w w:val="110"/>
        </w:rPr>
        <w:t>and</w:t>
      </w:r>
      <w:r w:rsidRPr="00320ADF">
        <w:rPr>
          <w:rFonts w:ascii="Times New Roman" w:hAnsi="Times New Roman" w:cs="Times New Roman"/>
          <w:spacing w:val="-4"/>
          <w:w w:val="110"/>
        </w:rPr>
        <w:t xml:space="preserve"> </w:t>
      </w:r>
      <w:r w:rsidRPr="00320ADF">
        <w:rPr>
          <w:rFonts w:ascii="Times New Roman" w:hAnsi="Times New Roman" w:cs="Times New Roman"/>
          <w:w w:val="110"/>
        </w:rPr>
        <w:t>so</w:t>
      </w:r>
      <w:r w:rsidRPr="00320ADF">
        <w:rPr>
          <w:rFonts w:ascii="Times New Roman" w:hAnsi="Times New Roman" w:cs="Times New Roman"/>
          <w:spacing w:val="-4"/>
          <w:w w:val="110"/>
        </w:rPr>
        <w:t xml:space="preserve"> </w:t>
      </w:r>
      <w:r w:rsidRPr="00320ADF">
        <w:rPr>
          <w:rFonts w:ascii="Times New Roman" w:hAnsi="Times New Roman" w:cs="Times New Roman"/>
          <w:w w:val="110"/>
        </w:rPr>
        <w:t>it</w:t>
      </w:r>
      <w:r w:rsidRPr="00320ADF">
        <w:rPr>
          <w:rFonts w:ascii="Times New Roman" w:hAnsi="Times New Roman" w:cs="Times New Roman"/>
          <w:spacing w:val="-1"/>
          <w:w w:val="110"/>
        </w:rPr>
        <w:t xml:space="preserve"> </w:t>
      </w:r>
      <w:r w:rsidRPr="00320ADF">
        <w:rPr>
          <w:rFonts w:ascii="Times New Roman" w:hAnsi="Times New Roman" w:cs="Times New Roman"/>
          <w:w w:val="110"/>
        </w:rPr>
        <w:t>had</w:t>
      </w:r>
      <w:r w:rsidRPr="00320ADF">
        <w:rPr>
          <w:rFonts w:ascii="Times New Roman" w:hAnsi="Times New Roman" w:cs="Times New Roman"/>
          <w:spacing w:val="-5"/>
          <w:w w:val="110"/>
        </w:rPr>
        <w:t xml:space="preserve"> </w:t>
      </w:r>
      <w:r w:rsidRPr="00320ADF">
        <w:rPr>
          <w:rFonts w:ascii="Times New Roman" w:hAnsi="Times New Roman" w:cs="Times New Roman"/>
          <w:w w:val="110"/>
        </w:rPr>
        <w:t>no</w:t>
      </w:r>
      <w:r w:rsidRPr="00320ADF">
        <w:rPr>
          <w:rFonts w:ascii="Times New Roman" w:hAnsi="Times New Roman" w:cs="Times New Roman"/>
          <w:spacing w:val="-3"/>
          <w:w w:val="110"/>
        </w:rPr>
        <w:t xml:space="preserve"> </w:t>
      </w:r>
      <w:r w:rsidRPr="00320ADF">
        <w:rPr>
          <w:rFonts w:ascii="Times New Roman" w:hAnsi="Times New Roman" w:cs="Times New Roman"/>
          <w:w w:val="110"/>
        </w:rPr>
        <w:t>cause</w:t>
      </w:r>
      <w:r w:rsidRPr="00320ADF">
        <w:rPr>
          <w:rFonts w:ascii="Times New Roman" w:hAnsi="Times New Roman" w:cs="Times New Roman"/>
          <w:spacing w:val="-11"/>
          <w:w w:val="110"/>
        </w:rPr>
        <w:t xml:space="preserve"> </w:t>
      </w:r>
      <w:r w:rsidRPr="00320ADF">
        <w:rPr>
          <w:rFonts w:ascii="Times New Roman" w:hAnsi="Times New Roman" w:cs="Times New Roman"/>
          <w:w w:val="110"/>
        </w:rPr>
        <w:t>to</w:t>
      </w:r>
      <w:r w:rsidRPr="00320ADF">
        <w:rPr>
          <w:rFonts w:ascii="Times New Roman" w:hAnsi="Times New Roman" w:cs="Times New Roman"/>
          <w:spacing w:val="-5"/>
          <w:w w:val="110"/>
        </w:rPr>
        <w:t xml:space="preserve"> </w:t>
      </w:r>
      <w:r w:rsidRPr="00320ADF">
        <w:rPr>
          <w:rFonts w:ascii="Times New Roman" w:hAnsi="Times New Roman" w:cs="Times New Roman"/>
          <w:w w:val="110"/>
        </w:rPr>
        <w:t>consider</w:t>
      </w:r>
      <w:r w:rsidRPr="00320ADF">
        <w:rPr>
          <w:rFonts w:ascii="Times New Roman" w:hAnsi="Times New Roman" w:cs="Times New Roman"/>
          <w:spacing w:val="4"/>
          <w:w w:val="110"/>
        </w:rPr>
        <w:t xml:space="preserve"> </w:t>
      </w:r>
      <w:r w:rsidRPr="00320ADF">
        <w:rPr>
          <w:rFonts w:ascii="Times New Roman" w:hAnsi="Times New Roman" w:cs="Times New Roman"/>
          <w:w w:val="110"/>
        </w:rPr>
        <w:t>the</w:t>
      </w:r>
      <w:r w:rsidRPr="00320ADF">
        <w:rPr>
          <w:rFonts w:ascii="Times New Roman" w:hAnsi="Times New Roman" w:cs="Times New Roman"/>
          <w:spacing w:val="-4"/>
          <w:w w:val="110"/>
        </w:rPr>
        <w:t xml:space="preserve"> </w:t>
      </w:r>
      <w:r w:rsidRPr="00320ADF">
        <w:rPr>
          <w:rFonts w:ascii="Times New Roman" w:hAnsi="Times New Roman" w:cs="Times New Roman"/>
          <w:w w:val="110"/>
        </w:rPr>
        <w:t>differences</w:t>
      </w:r>
      <w:r w:rsidRPr="00320ADF">
        <w:rPr>
          <w:rFonts w:ascii="Times New Roman" w:hAnsi="Times New Roman" w:cs="Times New Roman"/>
          <w:w w:val="107"/>
        </w:rPr>
        <w:t xml:space="preserve"> </w:t>
      </w:r>
      <w:r w:rsidRPr="00320ADF">
        <w:rPr>
          <w:rFonts w:ascii="Times New Roman" w:hAnsi="Times New Roman" w:cs="Times New Roman"/>
          <w:w w:val="110"/>
        </w:rPr>
        <w:t>between</w:t>
      </w:r>
      <w:r w:rsidRPr="00320ADF">
        <w:rPr>
          <w:rFonts w:ascii="Times New Roman" w:hAnsi="Times New Roman" w:cs="Times New Roman"/>
          <w:spacing w:val="-16"/>
          <w:w w:val="110"/>
        </w:rPr>
        <w:t xml:space="preserve"> </w:t>
      </w:r>
      <w:r w:rsidRPr="00320ADF">
        <w:rPr>
          <w:rFonts w:ascii="Times New Roman" w:hAnsi="Times New Roman" w:cs="Times New Roman"/>
          <w:w w:val="110"/>
        </w:rPr>
        <w:t>public</w:t>
      </w:r>
      <w:r w:rsidRPr="00320ADF">
        <w:rPr>
          <w:rFonts w:ascii="Times New Roman" w:hAnsi="Times New Roman" w:cs="Times New Roman"/>
          <w:spacing w:val="-19"/>
          <w:w w:val="110"/>
        </w:rPr>
        <w:t xml:space="preserve"> </w:t>
      </w:r>
      <w:r w:rsidRPr="00320ADF">
        <w:rPr>
          <w:rFonts w:ascii="Times New Roman" w:hAnsi="Times New Roman" w:cs="Times New Roman"/>
          <w:w w:val="110"/>
        </w:rPr>
        <w:t>trust</w:t>
      </w:r>
      <w:r w:rsidRPr="00320ADF">
        <w:rPr>
          <w:rFonts w:ascii="Times New Roman" w:hAnsi="Times New Roman" w:cs="Times New Roman"/>
          <w:spacing w:val="-14"/>
          <w:w w:val="110"/>
        </w:rPr>
        <w:t xml:space="preserve"> </w:t>
      </w:r>
      <w:r w:rsidRPr="00320ADF">
        <w:rPr>
          <w:rFonts w:ascii="Times New Roman" w:hAnsi="Times New Roman" w:cs="Times New Roman"/>
          <w:w w:val="110"/>
        </w:rPr>
        <w:t>claims</w:t>
      </w:r>
      <w:r w:rsidRPr="00320ADF">
        <w:rPr>
          <w:rFonts w:ascii="Times New Roman" w:hAnsi="Times New Roman" w:cs="Times New Roman"/>
          <w:spacing w:val="-12"/>
          <w:w w:val="110"/>
        </w:rPr>
        <w:t xml:space="preserve"> </w:t>
      </w:r>
      <w:r w:rsidRPr="00320ADF">
        <w:rPr>
          <w:rFonts w:ascii="Times New Roman" w:hAnsi="Times New Roman" w:cs="Times New Roman"/>
          <w:w w:val="110"/>
        </w:rPr>
        <w:t>and</w:t>
      </w:r>
      <w:r w:rsidRPr="00320ADF">
        <w:rPr>
          <w:rFonts w:ascii="Times New Roman" w:hAnsi="Times New Roman" w:cs="Times New Roman"/>
          <w:spacing w:val="-7"/>
          <w:w w:val="110"/>
        </w:rPr>
        <w:t xml:space="preserve"> </w:t>
      </w:r>
      <w:r w:rsidRPr="00320ADF">
        <w:rPr>
          <w:rFonts w:ascii="Times New Roman" w:hAnsi="Times New Roman" w:cs="Times New Roman"/>
          <w:w w:val="110"/>
        </w:rPr>
        <w:t>other</w:t>
      </w:r>
      <w:r w:rsidRPr="00320ADF">
        <w:rPr>
          <w:rFonts w:ascii="Times New Roman" w:hAnsi="Times New Roman" w:cs="Times New Roman"/>
          <w:spacing w:val="-13"/>
          <w:w w:val="110"/>
        </w:rPr>
        <w:t xml:space="preserve"> </w:t>
      </w:r>
      <w:r w:rsidRPr="00320ADF">
        <w:rPr>
          <w:rFonts w:ascii="Times New Roman" w:hAnsi="Times New Roman" w:cs="Times New Roman"/>
          <w:w w:val="110"/>
        </w:rPr>
        <w:t>types</w:t>
      </w:r>
      <w:r w:rsidRPr="00320ADF">
        <w:rPr>
          <w:rFonts w:ascii="Times New Roman" w:hAnsi="Times New Roman" w:cs="Times New Roman"/>
          <w:spacing w:val="-17"/>
          <w:w w:val="110"/>
        </w:rPr>
        <w:t xml:space="preserve"> </w:t>
      </w:r>
      <w:r w:rsidRPr="00320ADF">
        <w:rPr>
          <w:rFonts w:ascii="Times New Roman" w:hAnsi="Times New Roman" w:cs="Times New Roman"/>
          <w:w w:val="110"/>
        </w:rPr>
        <w:t>of</w:t>
      </w:r>
      <w:r w:rsidRPr="00320ADF">
        <w:rPr>
          <w:rFonts w:ascii="Times New Roman" w:hAnsi="Times New Roman" w:cs="Times New Roman"/>
          <w:spacing w:val="-22"/>
          <w:w w:val="110"/>
        </w:rPr>
        <w:t xml:space="preserve"> </w:t>
      </w:r>
      <w:r w:rsidRPr="00320ADF">
        <w:rPr>
          <w:rFonts w:ascii="Times New Roman" w:hAnsi="Times New Roman" w:cs="Times New Roman"/>
          <w:w w:val="110"/>
        </w:rPr>
        <w:t>claims.</w:t>
      </w:r>
      <w:r w:rsidRPr="00320ADF">
        <w:rPr>
          <w:rFonts w:ascii="Times New Roman" w:hAnsi="Times New Roman" w:cs="Times New Roman"/>
          <w:spacing w:val="33"/>
          <w:w w:val="110"/>
        </w:rPr>
        <w:t xml:space="preserve"> </w:t>
      </w:r>
      <w:r w:rsidRPr="00320ADF">
        <w:rPr>
          <w:rFonts w:ascii="Times New Roman" w:hAnsi="Times New Roman" w:cs="Times New Roman"/>
          <w:w w:val="110"/>
        </w:rPr>
        <w:t>Public</w:t>
      </w:r>
      <w:r w:rsidRPr="00320ADF">
        <w:rPr>
          <w:rFonts w:ascii="Times New Roman" w:hAnsi="Times New Roman" w:cs="Times New Roman"/>
          <w:spacing w:val="-17"/>
          <w:w w:val="110"/>
        </w:rPr>
        <w:t xml:space="preserve"> </w:t>
      </w:r>
      <w:r w:rsidRPr="00320ADF">
        <w:rPr>
          <w:rFonts w:ascii="Times New Roman" w:hAnsi="Times New Roman" w:cs="Times New Roman"/>
          <w:w w:val="110"/>
        </w:rPr>
        <w:t>trust</w:t>
      </w:r>
      <w:r w:rsidRPr="00320ADF">
        <w:rPr>
          <w:rFonts w:ascii="Times New Roman" w:hAnsi="Times New Roman" w:cs="Times New Roman"/>
          <w:spacing w:val="-13"/>
          <w:w w:val="110"/>
        </w:rPr>
        <w:t xml:space="preserve"> </w:t>
      </w:r>
      <w:r w:rsidRPr="00320ADF">
        <w:rPr>
          <w:rFonts w:ascii="Times New Roman" w:hAnsi="Times New Roman" w:cs="Times New Roman"/>
          <w:w w:val="110"/>
        </w:rPr>
        <w:t>claims</w:t>
      </w:r>
      <w:r w:rsidRPr="00320ADF">
        <w:rPr>
          <w:rFonts w:ascii="Times New Roman" w:hAnsi="Times New Roman" w:cs="Times New Roman"/>
          <w:spacing w:val="-20"/>
          <w:w w:val="110"/>
        </w:rPr>
        <w:t xml:space="preserve"> </w:t>
      </w:r>
      <w:r w:rsidRPr="00320ADF">
        <w:rPr>
          <w:rFonts w:ascii="Times New Roman" w:hAnsi="Times New Roman" w:cs="Times New Roman"/>
          <w:w w:val="110"/>
        </w:rPr>
        <w:t>are</w:t>
      </w:r>
      <w:r w:rsidRPr="00320ADF">
        <w:rPr>
          <w:rFonts w:ascii="Times New Roman" w:hAnsi="Times New Roman" w:cs="Times New Roman"/>
          <w:spacing w:val="-15"/>
          <w:w w:val="110"/>
        </w:rPr>
        <w:t xml:space="preserve"> </w:t>
      </w:r>
      <w:r w:rsidRPr="00320ADF">
        <w:rPr>
          <w:rFonts w:ascii="Times New Roman" w:hAnsi="Times New Roman" w:cs="Times New Roman"/>
          <w:w w:val="110"/>
        </w:rPr>
        <w:t>unique</w:t>
      </w:r>
      <w:r w:rsidRPr="00320ADF">
        <w:rPr>
          <w:rFonts w:ascii="Times New Roman" w:hAnsi="Times New Roman" w:cs="Times New Roman"/>
          <w:spacing w:val="-16"/>
          <w:w w:val="110"/>
        </w:rPr>
        <w:t xml:space="preserve"> </w:t>
      </w:r>
      <w:r w:rsidRPr="00320ADF">
        <w:rPr>
          <w:rFonts w:ascii="Times New Roman" w:hAnsi="Times New Roman" w:cs="Times New Roman"/>
          <w:w w:val="110"/>
        </w:rPr>
        <w:t>because</w:t>
      </w:r>
      <w:r w:rsidRPr="00320ADF">
        <w:rPr>
          <w:rFonts w:ascii="Times New Roman" w:hAnsi="Times New Roman" w:cs="Times New Roman"/>
          <w:spacing w:val="-14"/>
          <w:w w:val="110"/>
        </w:rPr>
        <w:t xml:space="preserve"> </w:t>
      </w:r>
      <w:r w:rsidRPr="00320ADF">
        <w:rPr>
          <w:rFonts w:ascii="Times New Roman" w:hAnsi="Times New Roman" w:cs="Times New Roman"/>
          <w:w w:val="110"/>
        </w:rPr>
        <w:t>they</w:t>
      </w:r>
      <w:r w:rsidRPr="00320ADF">
        <w:rPr>
          <w:rFonts w:ascii="Times New Roman" w:hAnsi="Times New Roman" w:cs="Times New Roman"/>
          <w:spacing w:val="-1"/>
          <w:w w:val="109"/>
        </w:rPr>
        <w:t xml:space="preserve"> </w:t>
      </w:r>
      <w:r w:rsidRPr="00320ADF">
        <w:rPr>
          <w:rFonts w:ascii="Times New Roman" w:hAnsi="Times New Roman" w:cs="Times New Roman"/>
          <w:w w:val="110"/>
        </w:rPr>
        <w:t>concern</w:t>
      </w:r>
      <w:r w:rsidRPr="00320ADF">
        <w:rPr>
          <w:rFonts w:ascii="Times New Roman" w:hAnsi="Times New Roman" w:cs="Times New Roman"/>
          <w:spacing w:val="-31"/>
          <w:w w:val="110"/>
        </w:rPr>
        <w:t xml:space="preserve"> </w:t>
      </w:r>
      <w:r w:rsidRPr="00320ADF">
        <w:rPr>
          <w:rFonts w:ascii="Times New Roman" w:hAnsi="Times New Roman" w:cs="Times New Roman"/>
          <w:w w:val="110"/>
        </w:rPr>
        <w:t>inherent</w:t>
      </w:r>
      <w:r w:rsidRPr="00320ADF">
        <w:rPr>
          <w:rFonts w:ascii="Times New Roman" w:hAnsi="Times New Roman" w:cs="Times New Roman"/>
          <w:spacing w:val="-38"/>
          <w:w w:val="110"/>
        </w:rPr>
        <w:t xml:space="preserve"> </w:t>
      </w:r>
      <w:r w:rsidRPr="00320ADF">
        <w:rPr>
          <w:rFonts w:ascii="Times New Roman" w:hAnsi="Times New Roman" w:cs="Times New Roman"/>
          <w:w w:val="110"/>
        </w:rPr>
        <w:t>attributes</w:t>
      </w:r>
      <w:r w:rsidRPr="00320ADF">
        <w:rPr>
          <w:rFonts w:ascii="Times New Roman" w:hAnsi="Times New Roman" w:cs="Times New Roman"/>
          <w:spacing w:val="-37"/>
          <w:w w:val="110"/>
        </w:rPr>
        <w:t xml:space="preserve"> </w:t>
      </w:r>
      <w:r w:rsidRPr="00320ADF">
        <w:rPr>
          <w:rFonts w:ascii="Times New Roman" w:hAnsi="Times New Roman" w:cs="Times New Roman"/>
          <w:w w:val="110"/>
        </w:rPr>
        <w:t>of</w:t>
      </w:r>
      <w:r w:rsidRPr="00320ADF">
        <w:rPr>
          <w:rFonts w:ascii="Times New Roman" w:hAnsi="Times New Roman" w:cs="Times New Roman"/>
          <w:spacing w:val="-40"/>
          <w:w w:val="110"/>
        </w:rPr>
        <w:t xml:space="preserve"> </w:t>
      </w:r>
      <w:r w:rsidRPr="00320ADF">
        <w:rPr>
          <w:rFonts w:ascii="Times New Roman" w:hAnsi="Times New Roman" w:cs="Times New Roman"/>
          <w:w w:val="110"/>
        </w:rPr>
        <w:t>sovereignty.</w:t>
      </w:r>
      <w:r w:rsidRPr="00320ADF">
        <w:rPr>
          <w:rFonts w:ascii="Times New Roman" w:hAnsi="Times New Roman" w:cs="Times New Roman"/>
          <w:spacing w:val="-17"/>
          <w:w w:val="110"/>
        </w:rPr>
        <w:t xml:space="preserve"> </w:t>
      </w:r>
      <w:r w:rsidRPr="00320ADF">
        <w:rPr>
          <w:rFonts w:ascii="Times New Roman" w:hAnsi="Times New Roman" w:cs="Times New Roman"/>
          <w:w w:val="110"/>
        </w:rPr>
        <w:t>The</w:t>
      </w:r>
      <w:r w:rsidRPr="00320ADF">
        <w:rPr>
          <w:rFonts w:ascii="Times New Roman" w:hAnsi="Times New Roman" w:cs="Times New Roman"/>
          <w:spacing w:val="-46"/>
          <w:w w:val="110"/>
        </w:rPr>
        <w:t xml:space="preserve"> </w:t>
      </w:r>
      <w:r w:rsidRPr="00320ADF">
        <w:rPr>
          <w:rFonts w:ascii="Times New Roman" w:hAnsi="Times New Roman" w:cs="Times New Roman"/>
          <w:w w:val="110"/>
        </w:rPr>
        <w:t>public</w:t>
      </w:r>
      <w:r w:rsidRPr="00320ADF">
        <w:rPr>
          <w:rFonts w:ascii="Times New Roman" w:hAnsi="Times New Roman" w:cs="Times New Roman"/>
          <w:spacing w:val="-44"/>
          <w:w w:val="110"/>
        </w:rPr>
        <w:t xml:space="preserve"> </w:t>
      </w:r>
      <w:r w:rsidRPr="00320ADF">
        <w:rPr>
          <w:rFonts w:ascii="Times New Roman" w:hAnsi="Times New Roman" w:cs="Times New Roman"/>
          <w:w w:val="110"/>
        </w:rPr>
        <w:t>trust</w:t>
      </w:r>
      <w:r w:rsidRPr="00320ADF">
        <w:rPr>
          <w:rFonts w:ascii="Times New Roman" w:hAnsi="Times New Roman" w:cs="Times New Roman"/>
          <w:spacing w:val="-39"/>
          <w:w w:val="110"/>
        </w:rPr>
        <w:t xml:space="preserve"> </w:t>
      </w:r>
      <w:r w:rsidRPr="00320ADF">
        <w:rPr>
          <w:rFonts w:ascii="Times New Roman" w:hAnsi="Times New Roman" w:cs="Times New Roman"/>
          <w:w w:val="110"/>
        </w:rPr>
        <w:t>imposes</w:t>
      </w:r>
      <w:r w:rsidRPr="00320ADF">
        <w:rPr>
          <w:rFonts w:ascii="Times New Roman" w:hAnsi="Times New Roman" w:cs="Times New Roman"/>
          <w:spacing w:val="-34"/>
          <w:w w:val="110"/>
        </w:rPr>
        <w:t xml:space="preserve"> </w:t>
      </w:r>
      <w:r w:rsidRPr="00320ADF">
        <w:rPr>
          <w:rFonts w:ascii="Times New Roman" w:hAnsi="Times New Roman" w:cs="Times New Roman"/>
          <w:w w:val="110"/>
        </w:rPr>
        <w:t>on</w:t>
      </w:r>
      <w:r w:rsidRPr="00320ADF">
        <w:rPr>
          <w:rFonts w:ascii="Times New Roman" w:hAnsi="Times New Roman" w:cs="Times New Roman"/>
          <w:spacing w:val="-40"/>
          <w:w w:val="110"/>
        </w:rPr>
        <w:t xml:space="preserve"> </w:t>
      </w:r>
      <w:r w:rsidRPr="00320ADF">
        <w:rPr>
          <w:rFonts w:ascii="Times New Roman" w:hAnsi="Times New Roman" w:cs="Times New Roman"/>
          <w:w w:val="110"/>
        </w:rPr>
        <w:t>the</w:t>
      </w:r>
      <w:r w:rsidRPr="00320ADF">
        <w:rPr>
          <w:rFonts w:ascii="Times New Roman" w:hAnsi="Times New Roman" w:cs="Times New Roman"/>
          <w:spacing w:val="-42"/>
          <w:w w:val="110"/>
        </w:rPr>
        <w:t xml:space="preserve"> </w:t>
      </w:r>
      <w:r w:rsidRPr="00320ADF">
        <w:rPr>
          <w:rFonts w:ascii="Times New Roman" w:hAnsi="Times New Roman" w:cs="Times New Roman"/>
          <w:w w:val="110"/>
        </w:rPr>
        <w:lastRenderedPageBreak/>
        <w:t>government</w:t>
      </w:r>
      <w:r w:rsidRPr="00320ADF">
        <w:rPr>
          <w:rFonts w:ascii="Times New Roman" w:hAnsi="Times New Roman" w:cs="Times New Roman"/>
          <w:spacing w:val="-39"/>
          <w:w w:val="110"/>
        </w:rPr>
        <w:t xml:space="preserve"> </w:t>
      </w:r>
      <w:r w:rsidRPr="00320ADF">
        <w:rPr>
          <w:rFonts w:ascii="Times New Roman" w:hAnsi="Times New Roman" w:cs="Times New Roman"/>
          <w:w w:val="110"/>
        </w:rPr>
        <w:t>an</w:t>
      </w:r>
      <w:r w:rsidRPr="00320ADF">
        <w:rPr>
          <w:rFonts w:ascii="Times New Roman" w:hAnsi="Times New Roman" w:cs="Times New Roman"/>
          <w:spacing w:val="-43"/>
          <w:w w:val="110"/>
        </w:rPr>
        <w:t xml:space="preserve"> </w:t>
      </w:r>
      <w:r w:rsidRPr="00320ADF">
        <w:rPr>
          <w:rFonts w:ascii="Times New Roman" w:hAnsi="Times New Roman" w:cs="Times New Roman"/>
          <w:w w:val="110"/>
        </w:rPr>
        <w:t>obligation</w:t>
      </w:r>
      <w:r w:rsidRPr="00320ADF">
        <w:rPr>
          <w:rFonts w:ascii="Times New Roman" w:hAnsi="Times New Roman" w:cs="Times New Roman"/>
          <w:w w:val="108"/>
        </w:rPr>
        <w:t xml:space="preserve"> </w:t>
      </w:r>
      <w:r w:rsidRPr="00320ADF">
        <w:rPr>
          <w:rFonts w:ascii="Times New Roman" w:hAnsi="Times New Roman" w:cs="Times New Roman"/>
          <w:w w:val="110"/>
        </w:rPr>
        <w:t xml:space="preserve">to protect the </w:t>
      </w:r>
      <w:proofErr w:type="spellStart"/>
      <w:r w:rsidRPr="00320ADF">
        <w:rPr>
          <w:rFonts w:ascii="Times New Roman" w:hAnsi="Times New Roman" w:cs="Times New Roman"/>
          <w:i/>
          <w:w w:val="110"/>
        </w:rPr>
        <w:t>res</w:t>
      </w:r>
      <w:proofErr w:type="spellEnd"/>
      <w:r w:rsidRPr="00320ADF">
        <w:rPr>
          <w:rFonts w:ascii="Times New Roman" w:hAnsi="Times New Roman" w:cs="Times New Roman"/>
          <w:i/>
          <w:w w:val="110"/>
        </w:rPr>
        <w:t xml:space="preserve"> </w:t>
      </w:r>
      <w:r w:rsidRPr="00320ADF">
        <w:rPr>
          <w:rFonts w:ascii="Times New Roman" w:hAnsi="Times New Roman" w:cs="Times New Roman"/>
          <w:w w:val="110"/>
        </w:rPr>
        <w:t>of the trust. A defining feature of that obligation is that it cannot</w:t>
      </w:r>
      <w:r w:rsidRPr="00320ADF">
        <w:rPr>
          <w:rFonts w:ascii="Times New Roman" w:hAnsi="Times New Roman" w:cs="Times New Roman"/>
          <w:spacing w:val="10"/>
          <w:w w:val="110"/>
        </w:rPr>
        <w:t xml:space="preserve"> </w:t>
      </w:r>
      <w:r w:rsidRPr="00320ADF">
        <w:rPr>
          <w:rFonts w:ascii="Times New Roman" w:hAnsi="Times New Roman" w:cs="Times New Roman"/>
          <w:w w:val="110"/>
        </w:rPr>
        <w:t>be</w:t>
      </w:r>
      <w:r w:rsidRPr="00320ADF">
        <w:rPr>
          <w:rFonts w:ascii="Times New Roman" w:hAnsi="Times New Roman" w:cs="Times New Roman"/>
          <w:spacing w:val="-1"/>
          <w:w w:val="110"/>
        </w:rPr>
        <w:t xml:space="preserve"> </w:t>
      </w:r>
      <w:r w:rsidRPr="00320ADF">
        <w:rPr>
          <w:rFonts w:ascii="Times New Roman" w:hAnsi="Times New Roman" w:cs="Times New Roman"/>
          <w:w w:val="110"/>
        </w:rPr>
        <w:t>legislated</w:t>
      </w:r>
      <w:r w:rsidRPr="00320ADF">
        <w:rPr>
          <w:rFonts w:ascii="Times New Roman" w:hAnsi="Times New Roman" w:cs="Times New Roman"/>
          <w:spacing w:val="-1"/>
          <w:w w:val="108"/>
        </w:rPr>
        <w:t xml:space="preserve"> </w:t>
      </w:r>
      <w:r w:rsidRPr="00320ADF">
        <w:rPr>
          <w:rFonts w:ascii="Times New Roman" w:hAnsi="Times New Roman" w:cs="Times New Roman"/>
          <w:w w:val="110"/>
        </w:rPr>
        <w:t>away.</w:t>
      </w:r>
      <w:r w:rsidRPr="00320ADF">
        <w:rPr>
          <w:rFonts w:ascii="Times New Roman" w:hAnsi="Times New Roman" w:cs="Times New Roman"/>
          <w:spacing w:val="31"/>
          <w:w w:val="110"/>
        </w:rPr>
        <w:t xml:space="preserve"> </w:t>
      </w:r>
      <w:r w:rsidRPr="00320ADF">
        <w:rPr>
          <w:rFonts w:ascii="Times New Roman" w:hAnsi="Times New Roman" w:cs="Times New Roman"/>
          <w:w w:val="110"/>
        </w:rPr>
        <w:t>Because</w:t>
      </w:r>
      <w:r w:rsidRPr="00320ADF">
        <w:rPr>
          <w:rFonts w:ascii="Times New Roman" w:hAnsi="Times New Roman" w:cs="Times New Roman"/>
          <w:spacing w:val="-9"/>
          <w:w w:val="110"/>
        </w:rPr>
        <w:t xml:space="preserve"> </w:t>
      </w:r>
      <w:r w:rsidRPr="00320ADF">
        <w:rPr>
          <w:rFonts w:ascii="Times New Roman" w:hAnsi="Times New Roman" w:cs="Times New Roman"/>
          <w:w w:val="110"/>
        </w:rPr>
        <w:t>of</w:t>
      </w:r>
      <w:r w:rsidRPr="00320ADF">
        <w:rPr>
          <w:rFonts w:ascii="Times New Roman" w:hAnsi="Times New Roman" w:cs="Times New Roman"/>
          <w:spacing w:val="-19"/>
          <w:w w:val="110"/>
        </w:rPr>
        <w:t xml:space="preserve"> </w:t>
      </w:r>
      <w:r w:rsidRPr="00320ADF">
        <w:rPr>
          <w:rFonts w:ascii="Times New Roman" w:hAnsi="Times New Roman" w:cs="Times New Roman"/>
          <w:w w:val="110"/>
        </w:rPr>
        <w:t>the</w:t>
      </w:r>
      <w:r w:rsidRPr="00320ADF">
        <w:rPr>
          <w:rFonts w:ascii="Times New Roman" w:hAnsi="Times New Roman" w:cs="Times New Roman"/>
          <w:spacing w:val="-17"/>
          <w:w w:val="110"/>
        </w:rPr>
        <w:t xml:space="preserve"> </w:t>
      </w:r>
      <w:r w:rsidRPr="00320ADF">
        <w:rPr>
          <w:rFonts w:ascii="Times New Roman" w:hAnsi="Times New Roman" w:cs="Times New Roman"/>
          <w:w w:val="110"/>
        </w:rPr>
        <w:t>nature</w:t>
      </w:r>
      <w:r w:rsidRPr="00320ADF">
        <w:rPr>
          <w:rFonts w:ascii="Times New Roman" w:hAnsi="Times New Roman" w:cs="Times New Roman"/>
          <w:spacing w:val="-21"/>
          <w:w w:val="110"/>
        </w:rPr>
        <w:t xml:space="preserve"> </w:t>
      </w:r>
      <w:r w:rsidRPr="00320ADF">
        <w:rPr>
          <w:rFonts w:ascii="Times New Roman" w:hAnsi="Times New Roman" w:cs="Times New Roman"/>
          <w:w w:val="110"/>
        </w:rPr>
        <w:t>of</w:t>
      </w:r>
      <w:r w:rsidRPr="00320ADF">
        <w:rPr>
          <w:rFonts w:ascii="Times New Roman" w:hAnsi="Times New Roman" w:cs="Times New Roman"/>
          <w:spacing w:val="-20"/>
          <w:w w:val="110"/>
        </w:rPr>
        <w:t xml:space="preserve"> </w:t>
      </w:r>
      <w:r w:rsidRPr="00320ADF">
        <w:rPr>
          <w:rFonts w:ascii="Times New Roman" w:hAnsi="Times New Roman" w:cs="Times New Roman"/>
          <w:w w:val="110"/>
        </w:rPr>
        <w:t>public</w:t>
      </w:r>
      <w:r w:rsidRPr="00320ADF">
        <w:rPr>
          <w:rFonts w:ascii="Times New Roman" w:hAnsi="Times New Roman" w:cs="Times New Roman"/>
          <w:spacing w:val="-25"/>
          <w:w w:val="110"/>
        </w:rPr>
        <w:t xml:space="preserve"> </w:t>
      </w:r>
      <w:r w:rsidRPr="00320ADF">
        <w:rPr>
          <w:rFonts w:ascii="Times New Roman" w:hAnsi="Times New Roman" w:cs="Times New Roman"/>
          <w:w w:val="110"/>
        </w:rPr>
        <w:t>trust</w:t>
      </w:r>
      <w:r w:rsidRPr="00320ADF">
        <w:rPr>
          <w:rFonts w:ascii="Times New Roman" w:hAnsi="Times New Roman" w:cs="Times New Roman"/>
          <w:spacing w:val="-19"/>
          <w:w w:val="110"/>
        </w:rPr>
        <w:t xml:space="preserve"> </w:t>
      </w:r>
      <w:r w:rsidRPr="00320ADF">
        <w:rPr>
          <w:rFonts w:ascii="Times New Roman" w:hAnsi="Times New Roman" w:cs="Times New Roman"/>
          <w:w w:val="110"/>
        </w:rPr>
        <w:t>claims,</w:t>
      </w:r>
      <w:r w:rsidRPr="00320ADF">
        <w:rPr>
          <w:rFonts w:ascii="Times New Roman" w:hAnsi="Times New Roman" w:cs="Times New Roman"/>
          <w:spacing w:val="-11"/>
          <w:w w:val="110"/>
        </w:rPr>
        <w:t xml:space="preserve"> </w:t>
      </w:r>
      <w:r w:rsidRPr="00320ADF">
        <w:rPr>
          <w:rFonts w:ascii="Times New Roman" w:hAnsi="Times New Roman" w:cs="Times New Roman"/>
          <w:w w:val="110"/>
        </w:rPr>
        <w:t>a</w:t>
      </w:r>
      <w:r w:rsidRPr="00320ADF">
        <w:rPr>
          <w:rFonts w:ascii="Times New Roman" w:hAnsi="Times New Roman" w:cs="Times New Roman"/>
          <w:spacing w:val="-18"/>
          <w:w w:val="110"/>
        </w:rPr>
        <w:t xml:space="preserve"> </w:t>
      </w:r>
      <w:r w:rsidRPr="00320ADF">
        <w:rPr>
          <w:rFonts w:ascii="Times New Roman" w:hAnsi="Times New Roman" w:cs="Times New Roman"/>
          <w:w w:val="110"/>
        </w:rPr>
        <w:t>displacement</w:t>
      </w:r>
      <w:r w:rsidRPr="00320ADF">
        <w:rPr>
          <w:rFonts w:ascii="Times New Roman" w:hAnsi="Times New Roman" w:cs="Times New Roman"/>
          <w:spacing w:val="-9"/>
          <w:w w:val="110"/>
        </w:rPr>
        <w:t xml:space="preserve"> </w:t>
      </w:r>
      <w:r w:rsidRPr="00320ADF">
        <w:rPr>
          <w:rFonts w:ascii="Times New Roman" w:hAnsi="Times New Roman" w:cs="Times New Roman"/>
          <w:w w:val="110"/>
        </w:rPr>
        <w:t>analysis</w:t>
      </w:r>
      <w:r w:rsidRPr="00320ADF">
        <w:rPr>
          <w:rFonts w:ascii="Times New Roman" w:hAnsi="Times New Roman" w:cs="Times New Roman"/>
          <w:spacing w:val="-20"/>
          <w:w w:val="110"/>
        </w:rPr>
        <w:t xml:space="preserve"> </w:t>
      </w:r>
      <w:r w:rsidRPr="00320ADF">
        <w:rPr>
          <w:rFonts w:ascii="Times New Roman" w:hAnsi="Times New Roman" w:cs="Times New Roman"/>
          <w:w w:val="110"/>
        </w:rPr>
        <w:t>simply</w:t>
      </w:r>
      <w:r w:rsidRPr="00320ADF">
        <w:rPr>
          <w:rFonts w:ascii="Times New Roman" w:hAnsi="Times New Roman" w:cs="Times New Roman"/>
          <w:spacing w:val="-18"/>
          <w:w w:val="110"/>
        </w:rPr>
        <w:t xml:space="preserve"> </w:t>
      </w:r>
      <w:r w:rsidRPr="00320ADF">
        <w:rPr>
          <w:rFonts w:ascii="Times New Roman" w:hAnsi="Times New Roman" w:cs="Times New Roman"/>
          <w:w w:val="110"/>
        </w:rPr>
        <w:t>does</w:t>
      </w:r>
      <w:r w:rsidRPr="00320ADF">
        <w:rPr>
          <w:rFonts w:ascii="Times New Roman" w:hAnsi="Times New Roman" w:cs="Times New Roman"/>
          <w:spacing w:val="-20"/>
          <w:w w:val="110"/>
        </w:rPr>
        <w:t xml:space="preserve"> </w:t>
      </w:r>
      <w:r w:rsidRPr="00320ADF">
        <w:rPr>
          <w:rFonts w:ascii="Times New Roman" w:hAnsi="Times New Roman" w:cs="Times New Roman"/>
          <w:w w:val="110"/>
        </w:rPr>
        <w:t>not</w:t>
      </w:r>
      <w:r w:rsidRPr="00320ADF">
        <w:rPr>
          <w:rFonts w:ascii="Times New Roman" w:hAnsi="Times New Roman" w:cs="Times New Roman"/>
          <w:spacing w:val="-19"/>
          <w:w w:val="110"/>
        </w:rPr>
        <w:t xml:space="preserve"> </w:t>
      </w:r>
      <w:r w:rsidRPr="00320ADF">
        <w:rPr>
          <w:rFonts w:ascii="Times New Roman" w:hAnsi="Times New Roman" w:cs="Times New Roman"/>
          <w:w w:val="110"/>
        </w:rPr>
        <w:t>apply.</w:t>
      </w:r>
      <w:r w:rsidRPr="00320ADF">
        <w:rPr>
          <w:rStyle w:val="FootnoteReference"/>
          <w:rFonts w:ascii="Times New Roman" w:hAnsi="Times New Roman" w:cs="Times New Roman"/>
          <w:w w:val="110"/>
        </w:rPr>
        <w:footnoteReference w:id="109"/>
      </w:r>
      <w:r w:rsidRPr="00320ADF">
        <w:rPr>
          <w:rFonts w:ascii="Times New Roman" w:hAnsi="Times New Roman" w:cs="Times New Roman"/>
          <w:spacing w:val="-1"/>
          <w:w w:val="109"/>
        </w:rPr>
        <w:t xml:space="preserve"> </w:t>
      </w:r>
    </w:p>
    <w:p w:rsidR="00013575" w:rsidRPr="00A814EF" w:rsidRDefault="00013575" w:rsidP="00A814EF">
      <w:pPr>
        <w:autoSpaceDE w:val="0"/>
        <w:autoSpaceDN w:val="0"/>
        <w:adjustRightInd w:val="0"/>
        <w:spacing w:line="276" w:lineRule="auto"/>
        <w:ind w:left="720" w:right="870"/>
        <w:jc w:val="both"/>
        <w:rPr>
          <w:rFonts w:ascii="Times New Roman" w:hAnsi="Times New Roman" w:cs="Times New Roman"/>
          <w:spacing w:val="-1"/>
          <w:w w:val="109"/>
        </w:rPr>
      </w:pPr>
    </w:p>
    <w:p w:rsidR="007B1306" w:rsidRPr="00401159" w:rsidRDefault="007B1306" w:rsidP="00401159">
      <w:pPr>
        <w:pStyle w:val="ListParagraph"/>
        <w:numPr>
          <w:ilvl w:val="0"/>
          <w:numId w:val="33"/>
        </w:numPr>
        <w:spacing w:line="480" w:lineRule="auto"/>
        <w:ind w:firstLine="990"/>
        <w:jc w:val="both"/>
        <w:rPr>
          <w:b/>
          <w:bCs/>
        </w:rPr>
      </w:pPr>
      <w:r w:rsidRPr="00401159">
        <w:rPr>
          <w:b/>
          <w:bCs/>
        </w:rPr>
        <w:t xml:space="preserve">THE REMEDY </w:t>
      </w:r>
    </w:p>
    <w:p w:rsidR="007B1306" w:rsidRPr="00320ADF" w:rsidRDefault="008C2727" w:rsidP="007B1306">
      <w:pPr>
        <w:spacing w:line="480" w:lineRule="auto"/>
        <w:ind w:firstLine="720"/>
        <w:jc w:val="both"/>
        <w:rPr>
          <w:rFonts w:ascii="Times New Roman" w:hAnsi="Times New Roman" w:cs="Times New Roman"/>
        </w:rPr>
      </w:pPr>
      <w:r w:rsidRPr="00320ADF">
        <w:rPr>
          <w:rFonts w:ascii="Times New Roman" w:hAnsi="Times New Roman" w:cs="Times New Roman"/>
        </w:rPr>
        <w:t>The</w:t>
      </w:r>
      <w:r w:rsidR="007B1306" w:rsidRPr="00320ADF">
        <w:rPr>
          <w:rFonts w:ascii="Times New Roman" w:hAnsi="Times New Roman" w:cs="Times New Roman"/>
        </w:rPr>
        <w:t xml:space="preserve"> remedy stage of atmospheric recovery litigation requires designating a fund to receive the damages and finance the drawdown projects.  This requires an administrative structure to solicit projects, </w:t>
      </w:r>
      <w:r w:rsidR="00AE0F9A" w:rsidRPr="00320ADF">
        <w:rPr>
          <w:rFonts w:ascii="Times New Roman" w:hAnsi="Times New Roman" w:cs="Times New Roman"/>
        </w:rPr>
        <w:t xml:space="preserve">evaluate proposals, </w:t>
      </w:r>
      <w:r w:rsidR="007B1306" w:rsidRPr="00320ADF">
        <w:rPr>
          <w:rFonts w:ascii="Times New Roman" w:hAnsi="Times New Roman" w:cs="Times New Roman"/>
        </w:rPr>
        <w:t xml:space="preserve">administer the funding, and supervise the completion of work.  Sovereign plaintiffs (even prior to the litigation) </w:t>
      </w:r>
      <w:r w:rsidR="00A26CE3" w:rsidRPr="00320ADF">
        <w:rPr>
          <w:rFonts w:ascii="Times New Roman" w:hAnsi="Times New Roman" w:cs="Times New Roman"/>
        </w:rPr>
        <w:t xml:space="preserve">may </w:t>
      </w:r>
      <w:r w:rsidR="007B1306" w:rsidRPr="00320ADF">
        <w:rPr>
          <w:rFonts w:ascii="Times New Roman" w:hAnsi="Times New Roman" w:cs="Times New Roman"/>
        </w:rPr>
        <w:t xml:space="preserve">establish a “Sky Trust” for this purpose, in which case the court’s role is simply to </w:t>
      </w:r>
      <w:r w:rsidR="00AE0F9A" w:rsidRPr="00320ADF">
        <w:rPr>
          <w:rFonts w:ascii="Times New Roman" w:hAnsi="Times New Roman" w:cs="Times New Roman"/>
        </w:rPr>
        <w:t>approve</w:t>
      </w:r>
      <w:r w:rsidR="007B1306" w:rsidRPr="00320ADF">
        <w:rPr>
          <w:rFonts w:ascii="Times New Roman" w:hAnsi="Times New Roman" w:cs="Times New Roman"/>
        </w:rPr>
        <w:t xml:space="preserve"> such trust as a recipient of the funds.  Or, the court may set up its own judicial trust, either through settlement processes or through direct order.  </w:t>
      </w:r>
      <w:r w:rsidR="00AE0F9A" w:rsidRPr="00320ADF">
        <w:rPr>
          <w:rFonts w:ascii="Times New Roman" w:hAnsi="Times New Roman" w:cs="Times New Roman"/>
        </w:rPr>
        <w:t xml:space="preserve">Three </w:t>
      </w:r>
      <w:r w:rsidR="007B1306" w:rsidRPr="00320ADF">
        <w:rPr>
          <w:rFonts w:ascii="Times New Roman" w:hAnsi="Times New Roman" w:cs="Times New Roman"/>
        </w:rPr>
        <w:t xml:space="preserve">prominent models </w:t>
      </w:r>
      <w:r w:rsidR="00AE0F9A" w:rsidRPr="00320ADF">
        <w:rPr>
          <w:rFonts w:ascii="Times New Roman" w:hAnsi="Times New Roman" w:cs="Times New Roman"/>
        </w:rPr>
        <w:t>illuminate possibilities</w:t>
      </w:r>
      <w:r w:rsidR="007B1306" w:rsidRPr="00320ADF">
        <w:rPr>
          <w:rFonts w:ascii="Times New Roman" w:hAnsi="Times New Roman" w:cs="Times New Roman"/>
        </w:rPr>
        <w:t xml:space="preserve">.  </w:t>
      </w:r>
    </w:p>
    <w:p w:rsidR="007B1306" w:rsidRPr="00320ADF" w:rsidRDefault="007B1306" w:rsidP="007B1306">
      <w:pPr>
        <w:spacing w:line="480" w:lineRule="auto"/>
        <w:ind w:firstLine="720"/>
        <w:jc w:val="both"/>
        <w:rPr>
          <w:rFonts w:ascii="Times New Roman" w:eastAsia="Times New Roman" w:hAnsi="Times New Roman" w:cs="Times New Roman"/>
          <w:color w:val="000000"/>
        </w:rPr>
      </w:pPr>
      <w:r w:rsidRPr="00320ADF">
        <w:rPr>
          <w:rFonts w:ascii="Times New Roman" w:hAnsi="Times New Roman" w:cs="Times New Roman"/>
          <w:i/>
          <w:iCs/>
        </w:rPr>
        <w:t>VW Settlement</w:t>
      </w:r>
      <w:r w:rsidRPr="00320ADF">
        <w:rPr>
          <w:rFonts w:ascii="Times New Roman" w:hAnsi="Times New Roman" w:cs="Times New Roman"/>
          <w:b/>
          <w:bCs/>
        </w:rPr>
        <w:t xml:space="preserve"> </w:t>
      </w:r>
      <w:r w:rsidRPr="00320ADF">
        <w:rPr>
          <w:rFonts w:ascii="Times New Roman" w:hAnsi="Times New Roman" w:cs="Times New Roman"/>
        </w:rPr>
        <w:t>– In litigation brought by U.S. Department of Justice against Volkswagen (VW) for installing defective pollution control equipment in its automobiles,</w:t>
      </w:r>
      <w:r w:rsidRPr="00320ADF">
        <w:rPr>
          <w:rStyle w:val="FootnoteReference"/>
          <w:rFonts w:ascii="Times New Roman" w:hAnsi="Times New Roman" w:cs="Times New Roman"/>
        </w:rPr>
        <w:footnoteReference w:id="110"/>
      </w:r>
      <w:r w:rsidRPr="00320ADF">
        <w:rPr>
          <w:rFonts w:ascii="Times New Roman" w:hAnsi="Times New Roman" w:cs="Times New Roman"/>
        </w:rPr>
        <w:t xml:space="preserve"> the court approved a settlement creating an </w:t>
      </w:r>
      <w:r w:rsidRPr="00320ADF">
        <w:rPr>
          <w:rFonts w:ascii="Times New Roman" w:eastAsia="Times New Roman" w:hAnsi="Times New Roman" w:cs="Times New Roman"/>
          <w:color w:val="000000"/>
        </w:rPr>
        <w:t xml:space="preserve">Environmental Mitigation Trust </w:t>
      </w:r>
      <w:r w:rsidRPr="00320ADF">
        <w:rPr>
          <w:rFonts w:ascii="Times New Roman" w:hAnsi="Times New Roman" w:cs="Times New Roman"/>
        </w:rPr>
        <w:t xml:space="preserve">Fund to mitigate millions of tons of NOx pollution that had been emitted into the nation’s airshed.  </w:t>
      </w:r>
      <w:r w:rsidR="00AE0F9A" w:rsidRPr="00320ADF">
        <w:rPr>
          <w:rFonts w:ascii="Times New Roman" w:hAnsi="Times New Roman" w:cs="Times New Roman"/>
        </w:rPr>
        <w:t>A</w:t>
      </w:r>
      <w:r w:rsidRPr="00320ADF">
        <w:rPr>
          <w:rFonts w:ascii="Times New Roman" w:hAnsi="Times New Roman" w:cs="Times New Roman"/>
        </w:rPr>
        <w:t xml:space="preserve"> $2.9 billion</w:t>
      </w:r>
      <w:r w:rsidR="00AE0F9A" w:rsidRPr="00320ADF">
        <w:rPr>
          <w:rFonts w:ascii="Times New Roman" w:hAnsi="Times New Roman" w:cs="Times New Roman"/>
        </w:rPr>
        <w:t xml:space="preserve"> </w:t>
      </w:r>
      <w:r w:rsidRPr="00320ADF">
        <w:rPr>
          <w:rFonts w:ascii="Times New Roman" w:hAnsi="Times New Roman" w:cs="Times New Roman"/>
        </w:rPr>
        <w:t>fund</w:t>
      </w:r>
      <w:r w:rsidR="00AE0F9A" w:rsidRPr="00320ADF">
        <w:rPr>
          <w:rFonts w:ascii="Times New Roman" w:hAnsi="Times New Roman" w:cs="Times New Roman"/>
        </w:rPr>
        <w:t xml:space="preserve"> financed by VW</w:t>
      </w:r>
      <w:r w:rsidR="00A73FB2">
        <w:rPr>
          <w:rFonts w:ascii="Times New Roman" w:hAnsi="Times New Roman" w:cs="Times New Roman"/>
        </w:rPr>
        <w:t xml:space="preserve"> and administered by a court-appointed trustee</w:t>
      </w:r>
      <w:r w:rsidRPr="00320ADF">
        <w:rPr>
          <w:rFonts w:ascii="Times New Roman" w:hAnsi="Times New Roman" w:cs="Times New Roman"/>
        </w:rPr>
        <w:t xml:space="preserve"> allocated </w:t>
      </w:r>
      <w:r w:rsidR="00AE0F9A" w:rsidRPr="00320ADF">
        <w:rPr>
          <w:rFonts w:ascii="Times New Roman" w:hAnsi="Times New Roman" w:cs="Times New Roman"/>
        </w:rPr>
        <w:t>money</w:t>
      </w:r>
      <w:r w:rsidRPr="00320ADF">
        <w:rPr>
          <w:rFonts w:ascii="Times New Roman" w:hAnsi="Times New Roman" w:cs="Times New Roman"/>
        </w:rPr>
        <w:t xml:space="preserve"> to</w:t>
      </w:r>
      <w:r w:rsidRPr="00320ADF">
        <w:rPr>
          <w:rFonts w:ascii="Times New Roman" w:eastAsia="Times New Roman" w:hAnsi="Times New Roman" w:cs="Times New Roman"/>
          <w:color w:val="000000"/>
        </w:rPr>
        <w:t xml:space="preserve"> State</w:t>
      </w:r>
      <w:r w:rsidR="00AE0F9A" w:rsidRPr="00320ADF">
        <w:rPr>
          <w:rFonts w:ascii="Times New Roman" w:eastAsia="Times New Roman" w:hAnsi="Times New Roman" w:cs="Times New Roman"/>
          <w:color w:val="000000"/>
        </w:rPr>
        <w:t>s</w:t>
      </w:r>
      <w:r w:rsidRPr="00320ADF">
        <w:rPr>
          <w:rFonts w:ascii="Times New Roman" w:eastAsia="Times New Roman" w:hAnsi="Times New Roman" w:cs="Times New Roman"/>
          <w:color w:val="000000"/>
        </w:rPr>
        <w:t xml:space="preserve"> and Indian Tribe “beneficiary funds”  </w:t>
      </w:r>
      <w:r w:rsidR="00AE0F9A" w:rsidRPr="00320ADF">
        <w:rPr>
          <w:rFonts w:ascii="Times New Roman" w:eastAsia="Times New Roman" w:hAnsi="Times New Roman" w:cs="Times New Roman"/>
          <w:color w:val="000000"/>
        </w:rPr>
        <w:t>b</w:t>
      </w:r>
      <w:r w:rsidRPr="00320ADF">
        <w:rPr>
          <w:rFonts w:ascii="Times New Roman" w:hAnsi="Times New Roman" w:cs="Times New Roman"/>
        </w:rPr>
        <w:t>ased on the number of illegal vehicles sold in their jurisdictions</w:t>
      </w:r>
      <w:r w:rsidR="00A73FB2">
        <w:rPr>
          <w:rFonts w:ascii="Times New Roman" w:hAnsi="Times New Roman" w:cs="Times New Roman"/>
        </w:rPr>
        <w:t xml:space="preserve">.  </w:t>
      </w:r>
      <w:r w:rsidRPr="00320ADF">
        <w:rPr>
          <w:rFonts w:ascii="Times New Roman" w:hAnsi="Times New Roman" w:cs="Times New Roman"/>
        </w:rPr>
        <w:t>The sovereign beneficiaries developed plans</w:t>
      </w:r>
      <w:r w:rsidR="00A73FB2">
        <w:rPr>
          <w:rFonts w:ascii="Times New Roman" w:hAnsi="Times New Roman" w:cs="Times New Roman"/>
        </w:rPr>
        <w:t>, subject to trustee approval,</w:t>
      </w:r>
      <w:r w:rsidRPr="00320ADF">
        <w:rPr>
          <w:rFonts w:ascii="Times New Roman" w:hAnsi="Times New Roman" w:cs="Times New Roman"/>
        </w:rPr>
        <w:t xml:space="preserve"> to reduce NOx pollution in their jurisdictions</w:t>
      </w:r>
      <w:r w:rsidR="00A7038C">
        <w:rPr>
          <w:rFonts w:ascii="Times New Roman" w:hAnsi="Times New Roman" w:cs="Times New Roman"/>
        </w:rPr>
        <w:t>,</w:t>
      </w:r>
      <w:r w:rsidR="00A73FB2">
        <w:rPr>
          <w:rFonts w:ascii="Times New Roman" w:hAnsi="Times New Roman" w:cs="Times New Roman"/>
        </w:rPr>
        <w:t xml:space="preserve"> and their agencies supervised the</w:t>
      </w:r>
      <w:r w:rsidRPr="00320ADF">
        <w:rPr>
          <w:rFonts w:ascii="Times New Roman" w:hAnsi="Times New Roman" w:cs="Times New Roman"/>
        </w:rPr>
        <w:t xml:space="preserve"> projects</w:t>
      </w:r>
      <w:r w:rsidR="00AE0F9A" w:rsidRPr="00320ADF">
        <w:rPr>
          <w:rFonts w:ascii="Times New Roman" w:hAnsi="Times New Roman" w:cs="Times New Roman"/>
        </w:rPr>
        <w:t xml:space="preserve">.  </w:t>
      </w:r>
    </w:p>
    <w:p w:rsidR="007B1306" w:rsidRPr="00320ADF" w:rsidRDefault="007B1306" w:rsidP="007B1306">
      <w:pPr>
        <w:spacing w:line="480" w:lineRule="auto"/>
        <w:ind w:firstLine="720"/>
        <w:jc w:val="both"/>
        <w:rPr>
          <w:rFonts w:ascii="Times New Roman" w:eastAsia="Times New Roman" w:hAnsi="Times New Roman" w:cs="Times New Roman"/>
          <w:color w:val="000000"/>
        </w:rPr>
      </w:pPr>
      <w:r w:rsidRPr="00320ADF">
        <w:rPr>
          <w:rFonts w:ascii="Times New Roman" w:eastAsia="Times New Roman" w:hAnsi="Times New Roman" w:cs="Times New Roman"/>
          <w:i/>
          <w:iCs/>
          <w:color w:val="000000"/>
        </w:rPr>
        <w:t>BP Settlement</w:t>
      </w:r>
      <w:r w:rsidRPr="00320ADF">
        <w:rPr>
          <w:rFonts w:ascii="Times New Roman" w:eastAsia="Times New Roman" w:hAnsi="Times New Roman" w:cs="Times New Roman"/>
          <w:color w:val="000000"/>
        </w:rPr>
        <w:t xml:space="preserve"> - </w:t>
      </w:r>
      <w:r w:rsidR="00A7038C">
        <w:rPr>
          <w:rFonts w:ascii="Times New Roman" w:hAnsi="Times New Roman" w:cs="Times New Roman"/>
        </w:rPr>
        <w:t>In</w:t>
      </w:r>
      <w:r w:rsidRPr="00320ADF">
        <w:rPr>
          <w:rFonts w:ascii="Times New Roman" w:hAnsi="Times New Roman" w:cs="Times New Roman"/>
        </w:rPr>
        <w:t xml:space="preserve"> litigation by the U.S. Department of Justice against BP for discharging millions of barrels of oil into the Gulf of Mexico </w:t>
      </w:r>
      <w:r w:rsidR="00A7038C">
        <w:rPr>
          <w:rFonts w:ascii="Times New Roman" w:hAnsi="Times New Roman" w:cs="Times New Roman"/>
        </w:rPr>
        <w:t>(</w:t>
      </w:r>
      <w:r w:rsidR="00C20C44" w:rsidRPr="00320ADF">
        <w:rPr>
          <w:rFonts w:ascii="Times New Roman" w:hAnsi="Times New Roman" w:cs="Times New Roman"/>
        </w:rPr>
        <w:t>after</w:t>
      </w:r>
      <w:r w:rsidRPr="00320ADF">
        <w:rPr>
          <w:rFonts w:ascii="Times New Roman" w:hAnsi="Times New Roman" w:cs="Times New Roman"/>
        </w:rPr>
        <w:t xml:space="preserve"> a drilling rig exploded in 2010</w:t>
      </w:r>
      <w:r w:rsidR="00A7038C">
        <w:rPr>
          <w:rFonts w:ascii="Times New Roman" w:hAnsi="Times New Roman" w:cs="Times New Roman"/>
        </w:rPr>
        <w:t>),</w:t>
      </w:r>
      <w:r w:rsidRPr="00320ADF">
        <w:rPr>
          <w:rFonts w:ascii="Times New Roman" w:hAnsi="Times New Roman" w:cs="Times New Roman"/>
        </w:rPr>
        <w:t xml:space="preserve"> BP agreed </w:t>
      </w:r>
      <w:r w:rsidRPr="00320ADF">
        <w:rPr>
          <w:rFonts w:ascii="Times New Roman" w:hAnsi="Times New Roman" w:cs="Times New Roman"/>
        </w:rPr>
        <w:lastRenderedPageBreak/>
        <w:t>to pay $7.1 billion to the Deepwater Horizon Oil Spill NRD Fund, managed by the Department of Interior, for the joint benefit of the five Gulf state trustees.</w:t>
      </w:r>
      <w:r w:rsidRPr="00320ADF">
        <w:rPr>
          <w:rStyle w:val="FootnoteReference"/>
          <w:rFonts w:ascii="Times New Roman" w:hAnsi="Times New Roman" w:cs="Times New Roman"/>
        </w:rPr>
        <w:footnoteReference w:id="111"/>
      </w:r>
      <w:r w:rsidRPr="00320ADF">
        <w:rPr>
          <w:rFonts w:ascii="Times New Roman" w:hAnsi="Times New Roman" w:cs="Times New Roman"/>
        </w:rPr>
        <w:t xml:space="preserve">  The Fund distributes money to projects aimed towards cleanup and ecosystem recovery</w:t>
      </w:r>
      <w:r w:rsidR="00A7038C">
        <w:rPr>
          <w:rFonts w:ascii="Times New Roman" w:hAnsi="Times New Roman" w:cs="Times New Roman"/>
        </w:rPr>
        <w:t xml:space="preserve"> across an area </w:t>
      </w:r>
      <w:r w:rsidR="00A7038C" w:rsidRPr="00320ADF">
        <w:rPr>
          <w:rFonts w:ascii="Times New Roman" w:hAnsi="Times New Roman" w:cs="Times New Roman"/>
        </w:rPr>
        <w:t>larger than the state of Idaho</w:t>
      </w:r>
      <w:r w:rsidRPr="00320ADF">
        <w:rPr>
          <w:rFonts w:ascii="Times New Roman" w:hAnsi="Times New Roman" w:cs="Times New Roman"/>
        </w:rPr>
        <w:t>.</w:t>
      </w:r>
    </w:p>
    <w:p w:rsidR="007B1306" w:rsidRPr="00320ADF" w:rsidRDefault="007B1306" w:rsidP="007B1306">
      <w:pPr>
        <w:spacing w:line="480" w:lineRule="auto"/>
        <w:jc w:val="both"/>
        <w:rPr>
          <w:rFonts w:ascii="Times New Roman" w:eastAsia="Times New Roman" w:hAnsi="Times New Roman" w:cs="Times New Roman"/>
          <w:color w:val="000000"/>
        </w:rPr>
      </w:pPr>
      <w:r w:rsidRPr="00320ADF">
        <w:rPr>
          <w:rFonts w:ascii="Times New Roman" w:eastAsia="Times New Roman" w:hAnsi="Times New Roman" w:cs="Times New Roman"/>
          <w:color w:val="000000"/>
        </w:rPr>
        <w:tab/>
      </w:r>
      <w:r w:rsidRPr="00320ADF">
        <w:rPr>
          <w:rFonts w:ascii="Times New Roman" w:eastAsia="Times New Roman" w:hAnsi="Times New Roman" w:cs="Times New Roman"/>
          <w:i/>
          <w:iCs/>
          <w:color w:val="000000"/>
        </w:rPr>
        <w:t>California Lead Abatement</w:t>
      </w:r>
      <w:r w:rsidRPr="00320ADF">
        <w:rPr>
          <w:rFonts w:ascii="Times New Roman" w:eastAsia="Times New Roman" w:hAnsi="Times New Roman" w:cs="Times New Roman"/>
          <w:color w:val="000000"/>
        </w:rPr>
        <w:t xml:space="preserve">  - </w:t>
      </w:r>
      <w:r w:rsidR="00285263">
        <w:rPr>
          <w:rFonts w:ascii="Times New Roman" w:eastAsia="Times New Roman" w:hAnsi="Times New Roman" w:cs="Times New Roman"/>
          <w:color w:val="000000"/>
        </w:rPr>
        <w:t>In litigation brought by the</w:t>
      </w:r>
      <w:r w:rsidRPr="00320ADF">
        <w:rPr>
          <w:rFonts w:ascii="Times New Roman" w:eastAsia="Times New Roman" w:hAnsi="Times New Roman" w:cs="Times New Roman"/>
          <w:color w:val="000000"/>
        </w:rPr>
        <w:t xml:space="preserve"> state of California and several counties against three major lead paint manufacturers, a 2014 trial court judgment </w:t>
      </w:r>
      <w:r w:rsidR="00285263">
        <w:rPr>
          <w:rFonts w:ascii="Times New Roman" w:eastAsia="Times New Roman" w:hAnsi="Times New Roman" w:cs="Times New Roman"/>
          <w:color w:val="000000"/>
        </w:rPr>
        <w:t>found</w:t>
      </w:r>
      <w:r w:rsidR="00285263" w:rsidRPr="00320ADF">
        <w:rPr>
          <w:rFonts w:ascii="Times New Roman" w:eastAsia="Times New Roman" w:hAnsi="Times New Roman" w:cs="Times New Roman"/>
          <w:color w:val="000000"/>
        </w:rPr>
        <w:t xml:space="preserve"> </w:t>
      </w:r>
      <w:r w:rsidRPr="00320ADF">
        <w:rPr>
          <w:rFonts w:ascii="Times New Roman" w:eastAsia="Times New Roman" w:hAnsi="Times New Roman" w:cs="Times New Roman"/>
          <w:color w:val="000000"/>
        </w:rPr>
        <w:t xml:space="preserve">the companies liable for the cost of </w:t>
      </w:r>
      <w:r w:rsidR="00A26CE3" w:rsidRPr="00320ADF">
        <w:rPr>
          <w:rFonts w:ascii="Times New Roman" w:eastAsia="Times New Roman" w:hAnsi="Times New Roman" w:cs="Times New Roman"/>
          <w:color w:val="000000"/>
        </w:rPr>
        <w:t>removing l</w:t>
      </w:r>
      <w:r w:rsidRPr="00320ADF">
        <w:rPr>
          <w:rFonts w:ascii="Times New Roman" w:eastAsia="Times New Roman" w:hAnsi="Times New Roman" w:cs="Times New Roman"/>
          <w:color w:val="000000"/>
        </w:rPr>
        <w:t>ead paint in over 3.5 million residences</w:t>
      </w:r>
      <w:r w:rsidR="00C20C44" w:rsidRPr="00320ADF">
        <w:rPr>
          <w:rFonts w:ascii="Times New Roman" w:eastAsia="Times New Roman" w:hAnsi="Times New Roman" w:cs="Times New Roman"/>
          <w:color w:val="000000"/>
        </w:rPr>
        <w:t xml:space="preserve">.  </w:t>
      </w:r>
      <w:r w:rsidRPr="00320ADF">
        <w:rPr>
          <w:rFonts w:ascii="Times New Roman" w:eastAsia="Times New Roman" w:hAnsi="Times New Roman" w:cs="Times New Roman"/>
          <w:color w:val="000000"/>
        </w:rPr>
        <w:t>A $305 million</w:t>
      </w:r>
      <w:r w:rsidR="00C20C44" w:rsidRPr="00320ADF">
        <w:rPr>
          <w:rFonts w:ascii="Times New Roman" w:eastAsia="Times New Roman" w:hAnsi="Times New Roman" w:cs="Times New Roman"/>
          <w:color w:val="000000"/>
        </w:rPr>
        <w:t xml:space="preserve"> settlement funds a court-ordered </w:t>
      </w:r>
      <w:r w:rsidR="00285263" w:rsidRPr="00320ADF">
        <w:rPr>
          <w:rFonts w:ascii="Times New Roman" w:eastAsia="Times New Roman" w:hAnsi="Times New Roman" w:cs="Times New Roman"/>
          <w:color w:val="000000"/>
        </w:rPr>
        <w:t xml:space="preserve">lead abatement </w:t>
      </w:r>
      <w:r w:rsidR="00C20C44" w:rsidRPr="00320ADF">
        <w:rPr>
          <w:rFonts w:ascii="Times New Roman" w:eastAsia="Times New Roman" w:hAnsi="Times New Roman" w:cs="Times New Roman"/>
          <w:color w:val="000000"/>
        </w:rPr>
        <w:t xml:space="preserve">program </w:t>
      </w:r>
      <w:r w:rsidR="00285263">
        <w:rPr>
          <w:rFonts w:ascii="Times New Roman" w:eastAsia="Times New Roman" w:hAnsi="Times New Roman" w:cs="Times New Roman"/>
          <w:color w:val="000000"/>
        </w:rPr>
        <w:t xml:space="preserve">administered by </w:t>
      </w:r>
      <w:r w:rsidR="00C20C44" w:rsidRPr="00320ADF">
        <w:rPr>
          <w:rFonts w:ascii="Times New Roman" w:eastAsia="Times New Roman" w:hAnsi="Times New Roman" w:cs="Times New Roman"/>
          <w:color w:val="000000"/>
        </w:rPr>
        <w:t>the state of</w:t>
      </w:r>
      <w:r w:rsidRPr="00320ADF">
        <w:rPr>
          <w:rFonts w:ascii="Times New Roman" w:eastAsia="Times New Roman" w:hAnsi="Times New Roman" w:cs="Times New Roman"/>
          <w:color w:val="000000"/>
        </w:rPr>
        <w:t xml:space="preserve"> California and the counties over a four-year period.</w:t>
      </w:r>
      <w:r w:rsidRPr="00320ADF">
        <w:rPr>
          <w:rStyle w:val="FootnoteReference"/>
          <w:rFonts w:ascii="Times New Roman" w:eastAsia="Times New Roman" w:hAnsi="Times New Roman" w:cs="Times New Roman"/>
          <w:color w:val="000000"/>
        </w:rPr>
        <w:footnoteReference w:id="112"/>
      </w:r>
      <w:r w:rsidRPr="00320ADF">
        <w:rPr>
          <w:rFonts w:ascii="Times New Roman" w:eastAsia="Times New Roman" w:hAnsi="Times New Roman" w:cs="Times New Roman"/>
          <w:color w:val="000000"/>
        </w:rPr>
        <w:t xml:space="preserve">   </w:t>
      </w:r>
    </w:p>
    <w:p w:rsidR="007B1306" w:rsidRPr="00320ADF" w:rsidRDefault="007B1306" w:rsidP="007B1306">
      <w:pPr>
        <w:autoSpaceDE w:val="0"/>
        <w:autoSpaceDN w:val="0"/>
        <w:adjustRightInd w:val="0"/>
        <w:spacing w:line="480" w:lineRule="auto"/>
        <w:jc w:val="both"/>
        <w:rPr>
          <w:rFonts w:ascii="Times New Roman" w:hAnsi="Times New Roman" w:cs="Times New Roman"/>
        </w:rPr>
      </w:pPr>
      <w:r w:rsidRPr="00320ADF">
        <w:rPr>
          <w:rFonts w:ascii="Times New Roman" w:hAnsi="Times New Roman" w:cs="Times New Roman"/>
          <w:b/>
          <w:bCs/>
        </w:rPr>
        <w:tab/>
      </w:r>
      <w:r w:rsidRPr="00320ADF">
        <w:rPr>
          <w:rFonts w:ascii="Times New Roman" w:hAnsi="Times New Roman" w:cs="Times New Roman"/>
        </w:rPr>
        <w:t xml:space="preserve">All three instances above involved massive funds and multi-stage implementation aimed towards remediating contamination.  While each required some amount of judicial supervision and ongoing jurisdiction, the primary administrative apparatus relied on sovereigns or an independent court-appointed trustee to administer the funds.  </w:t>
      </w:r>
      <w:r w:rsidR="005C123F">
        <w:rPr>
          <w:rFonts w:ascii="Times New Roman" w:hAnsi="Times New Roman" w:cs="Times New Roman"/>
        </w:rPr>
        <w:t>In</w:t>
      </w:r>
      <w:r w:rsidRPr="00320ADF">
        <w:rPr>
          <w:rFonts w:ascii="Times New Roman" w:hAnsi="Times New Roman" w:cs="Times New Roman"/>
        </w:rPr>
        <w:t xml:space="preserve"> the atmospheric recovery context, courts can</w:t>
      </w:r>
      <w:r w:rsidR="005C123F">
        <w:rPr>
          <w:rFonts w:ascii="Times New Roman" w:hAnsi="Times New Roman" w:cs="Times New Roman"/>
        </w:rPr>
        <w:t xml:space="preserve"> similarly</w:t>
      </w:r>
      <w:r w:rsidRPr="00320ADF">
        <w:rPr>
          <w:rFonts w:ascii="Times New Roman" w:hAnsi="Times New Roman" w:cs="Times New Roman"/>
        </w:rPr>
        <w:t xml:space="preserve"> set up funds administered by sovereign plaintiffs and/or appoint a trustee to finance sequestration projects to clean up the contaminated atmosphere.</w:t>
      </w:r>
      <w:r w:rsidR="00834BAC">
        <w:rPr>
          <w:rStyle w:val="FootnoteReference"/>
          <w:rFonts w:ascii="Times New Roman" w:hAnsi="Times New Roman" w:cs="Times New Roman"/>
        </w:rPr>
        <w:footnoteReference w:id="113"/>
      </w:r>
      <w:r w:rsidRPr="00320ADF">
        <w:rPr>
          <w:rFonts w:ascii="Times New Roman" w:hAnsi="Times New Roman" w:cs="Times New Roman"/>
        </w:rPr>
        <w:t xml:space="preserve">    </w:t>
      </w:r>
    </w:p>
    <w:p w:rsidR="007B1306" w:rsidRPr="00320ADF" w:rsidRDefault="007B1306" w:rsidP="007B1306">
      <w:pPr>
        <w:autoSpaceDE w:val="0"/>
        <w:autoSpaceDN w:val="0"/>
        <w:adjustRightInd w:val="0"/>
        <w:spacing w:line="480" w:lineRule="auto"/>
        <w:jc w:val="both"/>
        <w:rPr>
          <w:rFonts w:ascii="Times New Roman" w:hAnsi="Times New Roman" w:cs="Times New Roman"/>
          <w:b/>
          <w:bCs/>
        </w:rPr>
      </w:pPr>
      <w:r w:rsidRPr="00320ADF">
        <w:rPr>
          <w:rFonts w:ascii="Times New Roman" w:hAnsi="Times New Roman" w:cs="Times New Roman"/>
          <w:b/>
          <w:bCs/>
        </w:rPr>
        <w:tab/>
        <w:t>CONCLUSION</w:t>
      </w:r>
    </w:p>
    <w:p w:rsidR="007B1306" w:rsidRPr="00320ADF" w:rsidRDefault="007B1306" w:rsidP="007B1306">
      <w:pPr>
        <w:autoSpaceDE w:val="0"/>
        <w:autoSpaceDN w:val="0"/>
        <w:adjustRightInd w:val="0"/>
        <w:spacing w:line="480" w:lineRule="auto"/>
        <w:ind w:firstLine="720"/>
        <w:jc w:val="both"/>
        <w:rPr>
          <w:rFonts w:ascii="Times New Roman" w:hAnsi="Times New Roman" w:cs="Times New Roman"/>
        </w:rPr>
      </w:pPr>
      <w:r w:rsidRPr="00320ADF">
        <w:rPr>
          <w:rFonts w:ascii="Times New Roman" w:eastAsia="Times New Roman" w:hAnsi="Times New Roman" w:cs="Times New Roman"/>
        </w:rPr>
        <w:t>The narrow window of time to prevent uncontrollable planetary heating is closing rapidly, and if the law is to be relevant at all, it must address</w:t>
      </w:r>
      <w:r w:rsidR="00F234C0" w:rsidRPr="00320ADF">
        <w:rPr>
          <w:rFonts w:ascii="Times New Roman" w:eastAsia="Times New Roman" w:hAnsi="Times New Roman" w:cs="Times New Roman"/>
        </w:rPr>
        <w:t xml:space="preserve"> both sides of </w:t>
      </w:r>
      <w:r w:rsidRPr="00320ADF">
        <w:rPr>
          <w:rFonts w:ascii="Times New Roman" w:eastAsia="Times New Roman" w:hAnsi="Times New Roman" w:cs="Times New Roman"/>
        </w:rPr>
        <w:t xml:space="preserve">the climate imperative – decarbonization and drawdown of massive amounts of </w:t>
      </w:r>
      <w:r w:rsidR="007C3F3C" w:rsidRPr="00320ADF">
        <w:rPr>
          <w:w w:val="110"/>
        </w:rPr>
        <w:t>CO</w:t>
      </w:r>
      <w:r w:rsidR="007C3F3C" w:rsidRPr="00410451">
        <w:rPr>
          <w:w w:val="110"/>
          <w:vertAlign w:val="subscript"/>
        </w:rPr>
        <w:t>2</w:t>
      </w:r>
      <w:r w:rsidRPr="00320ADF">
        <w:rPr>
          <w:rFonts w:ascii="Times New Roman" w:eastAsia="Times New Roman" w:hAnsi="Times New Roman" w:cs="Times New Roman"/>
        </w:rPr>
        <w:t xml:space="preserve">.  Atmospheric Trust Litigation is underway to force the first, and the Atmospheric Recovery Litigation described in this chapter </w:t>
      </w:r>
      <w:r w:rsidRPr="00320ADF">
        <w:rPr>
          <w:rFonts w:ascii="Times New Roman" w:eastAsia="Times New Roman" w:hAnsi="Times New Roman" w:cs="Times New Roman"/>
        </w:rPr>
        <w:lastRenderedPageBreak/>
        <w:t xml:space="preserve">aims to spur the latter.  ARL envisions suits brought by sovereign trustees – states, tribes, counties, and foreign nations – against fossil fuel carbon majors to fund landscape carbon sequestration projects in their jurisdictions.   Based on the model of cleaning up an oil spill, such a litigation strategy is feasible, grounded in law, and </w:t>
      </w:r>
      <w:r w:rsidR="00F234C0" w:rsidRPr="00320ADF">
        <w:rPr>
          <w:rFonts w:ascii="Times New Roman" w:eastAsia="Times New Roman" w:hAnsi="Times New Roman" w:cs="Times New Roman"/>
        </w:rPr>
        <w:t>likely even</w:t>
      </w:r>
      <w:r w:rsidRPr="00320ADF">
        <w:rPr>
          <w:rFonts w:ascii="Times New Roman" w:eastAsia="Times New Roman" w:hAnsi="Times New Roman" w:cs="Times New Roman"/>
        </w:rPr>
        <w:t xml:space="preserve"> anticipated by </w:t>
      </w:r>
      <w:r w:rsidR="00385E87" w:rsidRPr="00320ADF">
        <w:rPr>
          <w:rFonts w:ascii="Times New Roman" w:eastAsia="Times New Roman" w:hAnsi="Times New Roman" w:cs="Times New Roman"/>
        </w:rPr>
        <w:t>the fossil fuel corporations themselves</w:t>
      </w:r>
      <w:r w:rsidRPr="00320ADF">
        <w:rPr>
          <w:rFonts w:ascii="Times New Roman" w:eastAsia="Times New Roman" w:hAnsi="Times New Roman" w:cs="Times New Roman"/>
        </w:rPr>
        <w:t xml:space="preserve">.  As industry lawyer Ira Gottlieb acknowledged in 2008, </w:t>
      </w:r>
      <w:r w:rsidRPr="00320ADF">
        <w:rPr>
          <w:rFonts w:ascii="Times New Roman" w:hAnsi="Times New Roman" w:cs="Times New Roman"/>
        </w:rPr>
        <w:t>“[I]t may only be a matter of time before natural resource trustees file actions for NRD[s] based on climate change effects.”</w:t>
      </w:r>
      <w:r w:rsidRPr="00320ADF">
        <w:rPr>
          <w:rStyle w:val="FootnoteReference"/>
          <w:rFonts w:ascii="Times New Roman" w:hAnsi="Times New Roman" w:cs="Times New Roman"/>
        </w:rPr>
        <w:footnoteReference w:id="114"/>
      </w:r>
      <w:r w:rsidRPr="00320ADF">
        <w:rPr>
          <w:rFonts w:ascii="Times New Roman" w:hAnsi="Times New Roman" w:cs="Times New Roman"/>
        </w:rPr>
        <w:t xml:space="preserve">  </w:t>
      </w:r>
    </w:p>
    <w:p w:rsidR="007B1306" w:rsidRPr="00320ADF" w:rsidRDefault="007B1306" w:rsidP="007B1306">
      <w:pPr>
        <w:spacing w:line="480" w:lineRule="auto"/>
        <w:ind w:firstLine="720"/>
        <w:jc w:val="both"/>
        <w:rPr>
          <w:rFonts w:ascii="Times New Roman" w:hAnsi="Times New Roman" w:cs="Times New Roman"/>
          <w:b/>
          <w:bCs/>
        </w:rPr>
      </w:pPr>
      <w:r w:rsidRPr="00320ADF">
        <w:rPr>
          <w:rFonts w:ascii="Times New Roman" w:hAnsi="Times New Roman" w:cs="Times New Roman"/>
        </w:rPr>
        <w:t xml:space="preserve">The approach developed in this chapter lends itself to various scales of litigation.  The public trust principle exists not only in every state, but on the federal level (assuming </w:t>
      </w:r>
      <w:r w:rsidRPr="00320ADF">
        <w:rPr>
          <w:rFonts w:ascii="Times New Roman" w:hAnsi="Times New Roman" w:cs="Times New Roman"/>
          <w:i/>
          <w:iCs/>
        </w:rPr>
        <w:t xml:space="preserve">Juliana’s </w:t>
      </w:r>
      <w:r w:rsidRPr="00320ADF">
        <w:rPr>
          <w:rFonts w:ascii="Times New Roman" w:hAnsi="Times New Roman" w:cs="Times New Roman"/>
        </w:rPr>
        <w:t xml:space="preserve">recognition of the federal trust is upheld) and in many other nations as well, presenting potential litigation on both national and sub-sovereign levels.  On one end of the spectrum, a consortium of states could bring a massive nationwide suit to force funding </w:t>
      </w:r>
      <w:r w:rsidR="00F234C0" w:rsidRPr="00320ADF">
        <w:rPr>
          <w:rFonts w:ascii="Times New Roman" w:hAnsi="Times New Roman" w:cs="Times New Roman"/>
        </w:rPr>
        <w:t xml:space="preserve">of </w:t>
      </w:r>
      <w:r w:rsidRPr="00320ADF">
        <w:rPr>
          <w:rFonts w:ascii="Times New Roman" w:hAnsi="Times New Roman" w:cs="Times New Roman"/>
        </w:rPr>
        <w:t>restoration across the United States (</w:t>
      </w:r>
      <w:r w:rsidR="00F234C0" w:rsidRPr="00320ADF">
        <w:rPr>
          <w:rFonts w:ascii="Times New Roman" w:hAnsi="Times New Roman" w:cs="Times New Roman"/>
        </w:rPr>
        <w:t>capitalizing on</w:t>
      </w:r>
      <w:r w:rsidRPr="00320ADF">
        <w:rPr>
          <w:rFonts w:ascii="Times New Roman" w:hAnsi="Times New Roman" w:cs="Times New Roman"/>
        </w:rPr>
        <w:t xml:space="preserve"> </w:t>
      </w:r>
      <w:r w:rsidR="00F234C0" w:rsidRPr="00320ADF">
        <w:rPr>
          <w:rFonts w:ascii="Times New Roman" w:hAnsi="Times New Roman" w:cs="Times New Roman"/>
        </w:rPr>
        <w:t xml:space="preserve">perhaps </w:t>
      </w:r>
      <w:r w:rsidRPr="00320ADF">
        <w:rPr>
          <w:rFonts w:ascii="Times New Roman" w:hAnsi="Times New Roman" w:cs="Times New Roman"/>
        </w:rPr>
        <w:t>2</w:t>
      </w:r>
      <w:r w:rsidR="00A46AB2" w:rsidRPr="00320ADF">
        <w:rPr>
          <w:rFonts w:ascii="Times New Roman" w:hAnsi="Times New Roman" w:cs="Times New Roman"/>
        </w:rPr>
        <w:t>0</w:t>
      </w:r>
      <w:r w:rsidRPr="00320ADF">
        <w:rPr>
          <w:rFonts w:ascii="Times New Roman" w:hAnsi="Times New Roman" w:cs="Times New Roman"/>
        </w:rPr>
        <w:t>% of the global potential).</w:t>
      </w:r>
      <w:r w:rsidRPr="00320ADF">
        <w:rPr>
          <w:rStyle w:val="FootnoteReference"/>
          <w:rFonts w:ascii="Times New Roman" w:hAnsi="Times New Roman" w:cs="Times New Roman"/>
        </w:rPr>
        <w:footnoteReference w:id="115"/>
      </w:r>
      <w:r w:rsidRPr="00320ADF">
        <w:rPr>
          <w:rFonts w:ascii="Times New Roman" w:hAnsi="Times New Roman" w:cs="Times New Roman"/>
        </w:rPr>
        <w:t xml:space="preserve">  </w:t>
      </w:r>
      <w:r w:rsidR="00F234C0" w:rsidRPr="00320ADF">
        <w:rPr>
          <w:rFonts w:ascii="Times New Roman" w:hAnsi="Times New Roman" w:cs="Times New Roman"/>
        </w:rPr>
        <w:t xml:space="preserve"> </w:t>
      </w:r>
      <w:r w:rsidRPr="00320ADF">
        <w:rPr>
          <w:rFonts w:ascii="Times New Roman" w:hAnsi="Times New Roman" w:cs="Times New Roman"/>
        </w:rPr>
        <w:t xml:space="preserve">On the other end of the spectrum, an ARL effort </w:t>
      </w:r>
      <w:r w:rsidR="00F234C0" w:rsidRPr="00320ADF">
        <w:rPr>
          <w:rFonts w:ascii="Times New Roman" w:hAnsi="Times New Roman" w:cs="Times New Roman"/>
        </w:rPr>
        <w:t xml:space="preserve">(not unlike </w:t>
      </w:r>
      <w:r w:rsidRPr="00320ADF">
        <w:rPr>
          <w:rFonts w:ascii="Times New Roman" w:hAnsi="Times New Roman" w:cs="Times New Roman"/>
        </w:rPr>
        <w:t>the ATL campaign</w:t>
      </w:r>
      <w:r w:rsidR="00F234C0" w:rsidRPr="00320ADF">
        <w:rPr>
          <w:rFonts w:ascii="Times New Roman" w:hAnsi="Times New Roman" w:cs="Times New Roman"/>
        </w:rPr>
        <w:t>) could</w:t>
      </w:r>
      <w:r w:rsidRPr="00320ADF">
        <w:rPr>
          <w:rFonts w:ascii="Times New Roman" w:hAnsi="Times New Roman" w:cs="Times New Roman"/>
        </w:rPr>
        <w:t xml:space="preserve"> proliferate through multiple parallel suits at the state level and in domestic courts of other nations.   Such suits could be brought simultaneously in various jurisdictions, modeled on a shared framework but adapted to unique legal requirements of the various jurisdictions.  </w:t>
      </w:r>
    </w:p>
    <w:p w:rsidR="00F234C0" w:rsidRPr="00320ADF" w:rsidRDefault="007B1306" w:rsidP="00F234C0">
      <w:pPr>
        <w:autoSpaceDE w:val="0"/>
        <w:autoSpaceDN w:val="0"/>
        <w:adjustRightInd w:val="0"/>
        <w:spacing w:line="480" w:lineRule="auto"/>
        <w:jc w:val="both"/>
        <w:rPr>
          <w:rFonts w:ascii="Times New Roman" w:hAnsi="Times New Roman" w:cs="Times New Roman"/>
        </w:rPr>
      </w:pPr>
      <w:r w:rsidRPr="00320ADF">
        <w:rPr>
          <w:rFonts w:ascii="Times New Roman" w:hAnsi="Times New Roman" w:cs="Times New Roman"/>
        </w:rPr>
        <w:t xml:space="preserve">Sovereign co-trustees may bring new lawsuits, or they may intervene in existing climate damages suits, pressing public trust claims </w:t>
      </w:r>
      <w:r w:rsidR="00385E87" w:rsidRPr="00320ADF">
        <w:rPr>
          <w:rFonts w:ascii="Times New Roman" w:hAnsi="Times New Roman" w:cs="Times New Roman"/>
        </w:rPr>
        <w:t>that fund</w:t>
      </w:r>
      <w:r w:rsidR="00F234C0" w:rsidRPr="00320ADF">
        <w:rPr>
          <w:rFonts w:ascii="Times New Roman" w:hAnsi="Times New Roman" w:cs="Times New Roman"/>
        </w:rPr>
        <w:t xml:space="preserve"> carbon sequestration</w:t>
      </w:r>
      <w:r w:rsidRPr="00320ADF">
        <w:rPr>
          <w:rFonts w:ascii="Times New Roman" w:hAnsi="Times New Roman" w:cs="Times New Roman"/>
        </w:rPr>
        <w:t xml:space="preserve"> </w:t>
      </w:r>
      <w:r w:rsidR="00F234C0" w:rsidRPr="00320ADF">
        <w:rPr>
          <w:rFonts w:ascii="Times New Roman" w:hAnsi="Times New Roman" w:cs="Times New Roman"/>
        </w:rPr>
        <w:t>(</w:t>
      </w:r>
      <w:r w:rsidRPr="00320ADF">
        <w:rPr>
          <w:rFonts w:ascii="Times New Roman" w:hAnsi="Times New Roman" w:cs="Times New Roman"/>
        </w:rPr>
        <w:t>rather than local adaptation measures</w:t>
      </w:r>
      <w:r w:rsidR="00F234C0" w:rsidRPr="00320ADF">
        <w:rPr>
          <w:rFonts w:ascii="Times New Roman" w:hAnsi="Times New Roman" w:cs="Times New Roman"/>
        </w:rPr>
        <w:t xml:space="preserve"> currently sought by climate plaintiffs)</w:t>
      </w:r>
      <w:r w:rsidRPr="00320ADF">
        <w:rPr>
          <w:rFonts w:ascii="Times New Roman" w:hAnsi="Times New Roman" w:cs="Times New Roman"/>
        </w:rPr>
        <w:t xml:space="preserve">.  </w:t>
      </w:r>
    </w:p>
    <w:p w:rsidR="007B1306" w:rsidRPr="00320ADF" w:rsidRDefault="00F234C0" w:rsidP="00F234C0">
      <w:pPr>
        <w:autoSpaceDE w:val="0"/>
        <w:autoSpaceDN w:val="0"/>
        <w:adjustRightInd w:val="0"/>
        <w:spacing w:line="480" w:lineRule="auto"/>
        <w:ind w:firstLine="720"/>
        <w:jc w:val="both"/>
        <w:rPr>
          <w:rFonts w:ascii="Times New Roman" w:eastAsia="Times New Roman" w:hAnsi="Times New Roman" w:cs="Times New Roman"/>
          <w:w w:val="110"/>
          <w:lang w:bidi="en-US"/>
        </w:rPr>
      </w:pPr>
      <w:r w:rsidRPr="00320ADF">
        <w:rPr>
          <w:rFonts w:ascii="Times New Roman" w:hAnsi="Times New Roman" w:cs="Times New Roman"/>
        </w:rPr>
        <w:t xml:space="preserve">Any </w:t>
      </w:r>
      <w:r w:rsidR="007B1306" w:rsidRPr="00320ADF">
        <w:rPr>
          <w:rFonts w:ascii="Times New Roman" w:hAnsi="Times New Roman" w:cs="Times New Roman"/>
        </w:rPr>
        <w:t xml:space="preserve">litigation strategy should proceed in sync with the other components of atmospheric recovery.  Sovereign leaders should waste no time initiating plans for tapping and maximizing </w:t>
      </w:r>
      <w:r w:rsidR="007B1306" w:rsidRPr="00320ADF">
        <w:rPr>
          <w:rFonts w:ascii="Times New Roman" w:hAnsi="Times New Roman" w:cs="Times New Roman"/>
        </w:rPr>
        <w:lastRenderedPageBreak/>
        <w:t xml:space="preserve">their sequestration potential across landscapes, enlisting scientists to create </w:t>
      </w:r>
      <w:r w:rsidRPr="00320ADF">
        <w:rPr>
          <w:rFonts w:ascii="Times New Roman" w:hAnsi="Times New Roman" w:cs="Times New Roman"/>
        </w:rPr>
        <w:t xml:space="preserve">guidelines </w:t>
      </w:r>
      <w:r w:rsidR="007B1306" w:rsidRPr="00320ADF">
        <w:rPr>
          <w:rFonts w:ascii="Times New Roman" w:hAnsi="Times New Roman" w:cs="Times New Roman"/>
        </w:rPr>
        <w:t xml:space="preserve">for projects and identifying spatially explicit opportunities.  They should also begin devising </w:t>
      </w:r>
      <w:r w:rsidR="00F309A2" w:rsidRPr="00320ADF">
        <w:rPr>
          <w:rFonts w:ascii="Times New Roman" w:hAnsi="Times New Roman" w:cs="Times New Roman"/>
        </w:rPr>
        <w:t xml:space="preserve">Sky Trust </w:t>
      </w:r>
      <w:r w:rsidR="007B1306" w:rsidRPr="00320ADF">
        <w:rPr>
          <w:rFonts w:ascii="Times New Roman" w:hAnsi="Times New Roman" w:cs="Times New Roman"/>
        </w:rPr>
        <w:t>models for administer</w:t>
      </w:r>
      <w:r w:rsidR="00F309A2" w:rsidRPr="00320ADF">
        <w:rPr>
          <w:rFonts w:ascii="Times New Roman" w:hAnsi="Times New Roman" w:cs="Times New Roman"/>
        </w:rPr>
        <w:t>ing</w:t>
      </w:r>
      <w:r w:rsidR="007B1306" w:rsidRPr="00320ADF">
        <w:rPr>
          <w:rFonts w:ascii="Times New Roman" w:hAnsi="Times New Roman" w:cs="Times New Roman"/>
        </w:rPr>
        <w:t xml:space="preserve"> </w:t>
      </w:r>
      <w:r w:rsidR="00F309A2" w:rsidRPr="00320ADF">
        <w:rPr>
          <w:rFonts w:ascii="Times New Roman" w:hAnsi="Times New Roman" w:cs="Times New Roman"/>
        </w:rPr>
        <w:t>drawdown</w:t>
      </w:r>
      <w:r w:rsidR="007B1306" w:rsidRPr="00320ADF">
        <w:rPr>
          <w:rFonts w:ascii="Times New Roman" w:hAnsi="Times New Roman" w:cs="Times New Roman"/>
        </w:rPr>
        <w:t xml:space="preserve"> projects across their jurisdictions.  To bring the atmospheric recovery challenge to the necessary scale, sovereigns should collaborate and unify into coalitions spanning shared ecosystems. </w:t>
      </w:r>
    </w:p>
    <w:p w:rsidR="007B1306" w:rsidRPr="00320ADF" w:rsidRDefault="007B1306" w:rsidP="007B1306">
      <w:pPr>
        <w:autoSpaceDE w:val="0"/>
        <w:autoSpaceDN w:val="0"/>
        <w:adjustRightInd w:val="0"/>
        <w:spacing w:line="480" w:lineRule="auto"/>
        <w:ind w:firstLine="720"/>
        <w:jc w:val="both"/>
        <w:rPr>
          <w:rFonts w:ascii="Times New Roman" w:hAnsi="Times New Roman" w:cs="Times New Roman"/>
        </w:rPr>
      </w:pPr>
      <w:r w:rsidRPr="00320ADF">
        <w:rPr>
          <w:rFonts w:ascii="Times New Roman" w:hAnsi="Times New Roman" w:cs="Times New Roman"/>
          <w:w w:val="110"/>
        </w:rPr>
        <w:t xml:space="preserve">In order for atmospheric NRD actions to succeed, judges must </w:t>
      </w:r>
      <w:r w:rsidR="00FE045C">
        <w:rPr>
          <w:rFonts w:ascii="Times New Roman" w:hAnsi="Times New Roman" w:cs="Times New Roman"/>
          <w:w w:val="110"/>
        </w:rPr>
        <w:t>embrace</w:t>
      </w:r>
      <w:r w:rsidRPr="00320ADF">
        <w:rPr>
          <w:rFonts w:ascii="Times New Roman" w:hAnsi="Times New Roman" w:cs="Times New Roman"/>
          <w:w w:val="110"/>
        </w:rPr>
        <w:t xml:space="preserve"> </w:t>
      </w:r>
      <w:r w:rsidR="00FF7923" w:rsidRPr="00320ADF">
        <w:rPr>
          <w:rFonts w:ascii="Times New Roman" w:hAnsi="Times New Roman" w:cs="Times New Roman"/>
          <w:w w:val="110"/>
        </w:rPr>
        <w:t>a</w:t>
      </w:r>
      <w:r w:rsidRPr="00320ADF">
        <w:rPr>
          <w:rFonts w:ascii="Times New Roman" w:hAnsi="Times New Roman" w:cs="Times New Roman"/>
          <w:w w:val="110"/>
        </w:rPr>
        <w:t xml:space="preserve"> role </w:t>
      </w:r>
      <w:r w:rsidR="00FF7923" w:rsidRPr="00320ADF">
        <w:rPr>
          <w:rFonts w:ascii="Times New Roman" w:hAnsi="Times New Roman" w:cs="Times New Roman"/>
          <w:w w:val="110"/>
        </w:rPr>
        <w:t xml:space="preserve">that </w:t>
      </w:r>
      <w:r w:rsidR="00FE045C">
        <w:rPr>
          <w:rFonts w:ascii="Times New Roman" w:hAnsi="Times New Roman" w:cs="Times New Roman"/>
          <w:w w:val="110"/>
        </w:rPr>
        <w:t>might</w:t>
      </w:r>
      <w:r w:rsidRPr="00320ADF">
        <w:rPr>
          <w:rFonts w:ascii="Times New Roman" w:hAnsi="Times New Roman" w:cs="Times New Roman"/>
          <w:w w:val="110"/>
        </w:rPr>
        <w:t xml:space="preserve"> be thought of as global rescue.  </w:t>
      </w:r>
      <w:r w:rsidR="008C2727" w:rsidRPr="00320ADF">
        <w:rPr>
          <w:rFonts w:ascii="Times New Roman" w:hAnsi="Times New Roman" w:cs="Times New Roman"/>
          <w:w w:val="110"/>
        </w:rPr>
        <w:t xml:space="preserve">At the outset of climate litigation more than a decade ago, courts showed reluctance to intervene in the </w:t>
      </w:r>
      <w:r w:rsidR="00E93E49" w:rsidRPr="00320ADF">
        <w:rPr>
          <w:rFonts w:ascii="Times New Roman" w:hAnsi="Times New Roman" w:cs="Times New Roman"/>
          <w:w w:val="110"/>
        </w:rPr>
        <w:t xml:space="preserve">worsening </w:t>
      </w:r>
      <w:r w:rsidR="008C2727" w:rsidRPr="00320ADF">
        <w:rPr>
          <w:rFonts w:ascii="Times New Roman" w:hAnsi="Times New Roman" w:cs="Times New Roman"/>
          <w:w w:val="110"/>
        </w:rPr>
        <w:t>crisis</w:t>
      </w:r>
      <w:r w:rsidR="00FF7923" w:rsidRPr="00320ADF">
        <w:rPr>
          <w:rFonts w:ascii="Times New Roman" w:hAnsi="Times New Roman" w:cs="Times New Roman"/>
          <w:w w:val="110"/>
        </w:rPr>
        <w:t xml:space="preserve">, </w:t>
      </w:r>
      <w:r w:rsidR="008C2727" w:rsidRPr="00320ADF">
        <w:rPr>
          <w:rFonts w:ascii="Times New Roman" w:hAnsi="Times New Roman" w:cs="Times New Roman"/>
          <w:w w:val="110"/>
        </w:rPr>
        <w:t xml:space="preserve">displaying </w:t>
      </w:r>
      <w:r w:rsidR="00FE045C">
        <w:rPr>
          <w:rFonts w:ascii="Times New Roman" w:hAnsi="Times New Roman" w:cs="Times New Roman"/>
          <w:w w:val="110"/>
        </w:rPr>
        <w:t xml:space="preserve">what </w:t>
      </w:r>
      <w:r w:rsidR="008C2727" w:rsidRPr="00320ADF">
        <w:rPr>
          <w:rFonts w:ascii="Times New Roman" w:hAnsi="Times New Roman" w:cs="Times New Roman"/>
        </w:rPr>
        <w:t xml:space="preserve">Yale law professor Douglas </w:t>
      </w:r>
      <w:proofErr w:type="spellStart"/>
      <w:r w:rsidR="008C2727" w:rsidRPr="00320ADF">
        <w:rPr>
          <w:rFonts w:ascii="Times New Roman" w:hAnsi="Times New Roman" w:cs="Times New Roman"/>
        </w:rPr>
        <w:t>Kysar</w:t>
      </w:r>
      <w:proofErr w:type="spellEnd"/>
      <w:r w:rsidR="008C2727" w:rsidRPr="00320ADF">
        <w:rPr>
          <w:rFonts w:ascii="Times New Roman" w:hAnsi="Times New Roman" w:cs="Times New Roman"/>
        </w:rPr>
        <w:t xml:space="preserve"> and R. Henry Weaver </w:t>
      </w:r>
      <w:r w:rsidR="00FE045C">
        <w:rPr>
          <w:rFonts w:ascii="Times New Roman" w:hAnsi="Times New Roman" w:cs="Times New Roman"/>
        </w:rPr>
        <w:t>call</w:t>
      </w:r>
      <w:r w:rsidR="00FE045C" w:rsidRPr="00320ADF">
        <w:rPr>
          <w:rFonts w:ascii="Times New Roman" w:hAnsi="Times New Roman" w:cs="Times New Roman"/>
        </w:rPr>
        <w:t xml:space="preserve"> </w:t>
      </w:r>
      <w:r w:rsidR="008C2727" w:rsidRPr="00320ADF">
        <w:rPr>
          <w:rFonts w:ascii="Times New Roman" w:hAnsi="Times New Roman" w:cs="Times New Roman"/>
        </w:rPr>
        <w:t xml:space="preserve">judicial </w:t>
      </w:r>
      <w:r w:rsidR="008C2727" w:rsidRPr="00320ADF">
        <w:rPr>
          <w:rFonts w:ascii="Times New Roman" w:hAnsi="Times New Roman" w:cs="Times New Roman"/>
          <w:color w:val="212121"/>
        </w:rPr>
        <w:t>“nihilism”––“[d]</w:t>
      </w:r>
      <w:proofErr w:type="spellStart"/>
      <w:r w:rsidR="008C2727" w:rsidRPr="00320ADF">
        <w:rPr>
          <w:rFonts w:ascii="Times New Roman" w:hAnsi="Times New Roman" w:cs="Times New Roman"/>
          <w:color w:val="212121"/>
        </w:rPr>
        <w:t>enying</w:t>
      </w:r>
      <w:proofErr w:type="spellEnd"/>
      <w:r w:rsidR="008C2727" w:rsidRPr="00320ADF">
        <w:rPr>
          <w:rFonts w:ascii="Times New Roman" w:hAnsi="Times New Roman" w:cs="Times New Roman"/>
          <w:color w:val="212121"/>
        </w:rPr>
        <w:t xml:space="preserve"> [their] own expansive power, [courts] cower[ed] before catastrophe.”</w:t>
      </w:r>
      <w:r w:rsidR="008C2727" w:rsidRPr="00320ADF">
        <w:rPr>
          <w:rStyle w:val="FootnoteReference"/>
          <w:rFonts w:ascii="Times New Roman" w:hAnsi="Times New Roman" w:cs="Times New Roman"/>
          <w:color w:val="212121"/>
        </w:rPr>
        <w:footnoteReference w:id="116"/>
      </w:r>
      <w:r w:rsidR="00591F2F">
        <w:rPr>
          <w:rFonts w:ascii="Times New Roman" w:hAnsi="Times New Roman" w:cs="Times New Roman"/>
          <w:color w:val="212121"/>
          <w:position w:val="10"/>
        </w:rPr>
        <w:t xml:space="preserve">  </w:t>
      </w:r>
      <w:r w:rsidRPr="00320ADF">
        <w:rPr>
          <w:rFonts w:ascii="Times New Roman" w:hAnsi="Times New Roman" w:cs="Times New Roman"/>
          <w:w w:val="110"/>
        </w:rPr>
        <w:t>At this eleventh hour</w:t>
      </w:r>
      <w:r w:rsidR="001E2522">
        <w:rPr>
          <w:rFonts w:ascii="Times New Roman" w:hAnsi="Times New Roman" w:cs="Times New Roman"/>
          <w:w w:val="110"/>
        </w:rPr>
        <w:t xml:space="preserve">, </w:t>
      </w:r>
      <w:r w:rsidR="008C2727" w:rsidRPr="00320ADF">
        <w:rPr>
          <w:rFonts w:ascii="Times New Roman" w:hAnsi="Times New Roman" w:cs="Times New Roman"/>
          <w:w w:val="110"/>
        </w:rPr>
        <w:t>j</w:t>
      </w:r>
      <w:r w:rsidRPr="00320ADF">
        <w:rPr>
          <w:rFonts w:ascii="Times New Roman" w:hAnsi="Times New Roman" w:cs="Times New Roman"/>
          <w:w w:val="110"/>
        </w:rPr>
        <w:t>udicial intervention may be the only recourse to break a political stalemate threaten</w:t>
      </w:r>
      <w:r w:rsidR="00FF7923" w:rsidRPr="00320ADF">
        <w:rPr>
          <w:rFonts w:ascii="Times New Roman" w:hAnsi="Times New Roman" w:cs="Times New Roman"/>
          <w:w w:val="110"/>
        </w:rPr>
        <w:t>ing</w:t>
      </w:r>
      <w:r w:rsidRPr="00320ADF">
        <w:rPr>
          <w:rFonts w:ascii="Times New Roman" w:hAnsi="Times New Roman" w:cs="Times New Roman"/>
          <w:w w:val="110"/>
        </w:rPr>
        <w:t xml:space="preserve"> life, liberty, and civilization itself.</w:t>
      </w:r>
      <w:r w:rsidR="00236435" w:rsidRPr="00320ADF">
        <w:rPr>
          <w:rFonts w:ascii="Times New Roman" w:hAnsi="Times New Roman" w:cs="Times New Roman"/>
          <w:w w:val="110"/>
        </w:rPr>
        <w:t xml:space="preserve">  Hawaii Supreme Court </w:t>
      </w:r>
      <w:r w:rsidR="001E2522">
        <w:rPr>
          <w:rFonts w:ascii="Times New Roman" w:hAnsi="Times New Roman" w:cs="Times New Roman"/>
          <w:w w:val="110"/>
        </w:rPr>
        <w:t xml:space="preserve">Associate </w:t>
      </w:r>
      <w:r w:rsidR="00236435" w:rsidRPr="00320ADF">
        <w:rPr>
          <w:rFonts w:ascii="Times New Roman" w:hAnsi="Times New Roman" w:cs="Times New Roman"/>
          <w:w w:val="110"/>
        </w:rPr>
        <w:t>Justice Michael Wilson writes</w:t>
      </w:r>
      <w:r w:rsidR="00A8023B" w:rsidRPr="00320ADF">
        <w:rPr>
          <w:rFonts w:ascii="Times New Roman" w:hAnsi="Times New Roman" w:cs="Times New Roman"/>
          <w:w w:val="110"/>
        </w:rPr>
        <w:t>,</w:t>
      </w:r>
      <w:r w:rsidR="00ED264F">
        <w:rPr>
          <w:rFonts w:ascii="Times New Roman" w:hAnsi="Times New Roman" w:cs="Times New Roman"/>
        </w:rPr>
        <w:t xml:space="preserve"> </w:t>
      </w:r>
      <w:r w:rsidR="00A8023B" w:rsidRPr="00320ADF">
        <w:rPr>
          <w:rFonts w:ascii="Times New Roman" w:hAnsi="Times New Roman" w:cs="Times New Roman"/>
          <w:color w:val="000000"/>
        </w:rPr>
        <w:t>"As the archetypal peril of earth with collapsing ecosystems approaches, legal narratives limiting judicial review [of] carbon-caused global warming will become anachronisms</w:t>
      </w:r>
      <w:r w:rsidR="00D82534" w:rsidRPr="00320ADF">
        <w:rPr>
          <w:rFonts w:ascii="Times New Roman" w:hAnsi="Times New Roman" w:cs="Times New Roman"/>
          <w:color w:val="000000"/>
        </w:rPr>
        <w:t>.</w:t>
      </w:r>
      <w:r w:rsidR="00A8023B" w:rsidRPr="00320ADF">
        <w:rPr>
          <w:rStyle w:val="FootnoteReference"/>
          <w:rFonts w:ascii="Times New Roman" w:hAnsi="Times New Roman" w:cs="Times New Roman"/>
          <w:w w:val="110"/>
        </w:rPr>
        <w:footnoteReference w:id="117"/>
      </w:r>
      <w:r w:rsidRPr="00320ADF">
        <w:rPr>
          <w:rFonts w:ascii="Times New Roman" w:hAnsi="Times New Roman" w:cs="Times New Roman"/>
          <w:w w:val="110"/>
        </w:rPr>
        <w:t xml:space="preserve">  </w:t>
      </w:r>
    </w:p>
    <w:p w:rsidR="004C6835" w:rsidRDefault="007B1306" w:rsidP="004C6835">
      <w:pPr>
        <w:autoSpaceDE w:val="0"/>
        <w:autoSpaceDN w:val="0"/>
        <w:adjustRightInd w:val="0"/>
        <w:jc w:val="center"/>
        <w:rPr>
          <w:rFonts w:ascii="Times New Roman" w:hAnsi="Times New Roman" w:cs="Times New Roman"/>
          <w:b/>
          <w:bCs/>
          <w:i/>
          <w:iCs/>
          <w:color w:val="365F92"/>
        </w:rPr>
      </w:pPr>
      <w:r w:rsidRPr="00320ADF">
        <w:rPr>
          <w:rFonts w:ascii="Times New Roman" w:hAnsi="Times New Roman" w:cs="Times New Roman"/>
          <w:b/>
          <w:bCs/>
          <w:i/>
          <w:iCs/>
          <w:color w:val="365F92"/>
        </w:rPr>
        <w:t xml:space="preserve">“It is not enough that we do our best; sometimes we must do what is required.” </w:t>
      </w:r>
    </w:p>
    <w:p w:rsidR="007B1306" w:rsidRDefault="007B1306" w:rsidP="004C6835">
      <w:pPr>
        <w:autoSpaceDE w:val="0"/>
        <w:autoSpaceDN w:val="0"/>
        <w:adjustRightInd w:val="0"/>
        <w:jc w:val="center"/>
        <w:rPr>
          <w:rFonts w:ascii="Times New Roman" w:hAnsi="Times New Roman" w:cs="Times New Roman"/>
          <w:b/>
          <w:bCs/>
          <w:i/>
          <w:iCs/>
          <w:color w:val="365F92"/>
        </w:rPr>
      </w:pPr>
      <w:r w:rsidRPr="00320ADF">
        <w:rPr>
          <w:rFonts w:ascii="Times New Roman" w:hAnsi="Times New Roman" w:cs="Times New Roman"/>
          <w:b/>
          <w:bCs/>
          <w:i/>
          <w:iCs/>
          <w:color w:val="365F92"/>
        </w:rPr>
        <w:t>Winston Churchi</w:t>
      </w:r>
      <w:r w:rsidR="00986249">
        <w:rPr>
          <w:rFonts w:ascii="Times New Roman" w:hAnsi="Times New Roman" w:cs="Times New Roman"/>
          <w:b/>
          <w:bCs/>
          <w:i/>
          <w:iCs/>
          <w:color w:val="365F92"/>
        </w:rPr>
        <w:t>ll</w:t>
      </w:r>
    </w:p>
    <w:p w:rsidR="00986249" w:rsidRDefault="00986249" w:rsidP="00943F08">
      <w:pPr>
        <w:spacing w:line="480" w:lineRule="auto"/>
        <w:jc w:val="both"/>
        <w:rPr>
          <w:b/>
          <w:bCs/>
          <w:i/>
          <w:iCs/>
        </w:rPr>
      </w:pPr>
    </w:p>
    <w:p w:rsidR="00017B50" w:rsidRPr="00320ADF" w:rsidRDefault="00017B50" w:rsidP="00527B69">
      <w:pPr>
        <w:spacing w:line="480" w:lineRule="auto"/>
        <w:jc w:val="both"/>
        <w:rPr>
          <w:rFonts w:ascii="Times New Roman" w:hAnsi="Times New Roman" w:cs="Times New Roman"/>
        </w:rPr>
      </w:pPr>
    </w:p>
    <w:sectPr w:rsidR="00017B50" w:rsidRPr="00320ADF" w:rsidSect="0035212D">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380" w:rsidRDefault="00D61380" w:rsidP="00FB255C">
      <w:r>
        <w:separator/>
      </w:r>
    </w:p>
  </w:endnote>
  <w:endnote w:type="continuationSeparator" w:id="0">
    <w:p w:rsidR="00D61380" w:rsidRDefault="00D61380" w:rsidP="00FB2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4211935"/>
      <w:docPartObj>
        <w:docPartGallery w:val="Page Numbers (Bottom of Page)"/>
        <w:docPartUnique/>
      </w:docPartObj>
    </w:sdtPr>
    <w:sdtContent>
      <w:p w:rsidR="00796753" w:rsidRDefault="00796753" w:rsidP="00F718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96753" w:rsidRDefault="00796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0194238"/>
      <w:docPartObj>
        <w:docPartGallery w:val="Page Numbers (Bottom of Page)"/>
        <w:docPartUnique/>
      </w:docPartObj>
    </w:sdtPr>
    <w:sdtContent>
      <w:p w:rsidR="00796753" w:rsidRDefault="00796753" w:rsidP="00F718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96753" w:rsidRDefault="00796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380" w:rsidRDefault="00D61380" w:rsidP="00FB255C">
      <w:r>
        <w:separator/>
      </w:r>
    </w:p>
  </w:footnote>
  <w:footnote w:type="continuationSeparator" w:id="0">
    <w:p w:rsidR="00D61380" w:rsidRDefault="00D61380" w:rsidP="00FB255C">
      <w:r>
        <w:continuationSeparator/>
      </w:r>
    </w:p>
  </w:footnote>
  <w:footnote w:id="1">
    <w:p w:rsidR="00401159" w:rsidRPr="00834BAC" w:rsidRDefault="00401159" w:rsidP="000A3979">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w:t>
      </w:r>
      <w:r w:rsidR="00DA1F6A">
        <w:rPr>
          <w:rFonts w:ascii="Times New Roman" w:hAnsi="Times New Roman" w:cs="Times New Roman"/>
        </w:rPr>
        <w:t xml:space="preserve">Mary Christina Wood, Philip H. Knight Professor, University of Oregon School of Law.  </w:t>
      </w:r>
      <w:r w:rsidRPr="00834BAC">
        <w:rPr>
          <w:rFonts w:ascii="Times New Roman" w:hAnsi="Times New Roman" w:cs="Times New Roman"/>
        </w:rPr>
        <w:t xml:space="preserve">This </w:t>
      </w:r>
      <w:r w:rsidR="00DA1F6A">
        <w:rPr>
          <w:rFonts w:ascii="Times New Roman" w:hAnsi="Times New Roman" w:cs="Times New Roman"/>
        </w:rPr>
        <w:t xml:space="preserve">chapter </w:t>
      </w:r>
      <w:r w:rsidRPr="00834BAC">
        <w:rPr>
          <w:rFonts w:ascii="Times New Roman" w:hAnsi="Times New Roman" w:cs="Times New Roman"/>
        </w:rPr>
        <w:t xml:space="preserve">is part of a larger work, </w:t>
      </w:r>
      <w:r w:rsidRPr="00834BAC">
        <w:rPr>
          <w:rFonts w:ascii="Times New Roman" w:hAnsi="Times New Roman" w:cs="Times New Roman"/>
          <w:i/>
          <w:iCs/>
        </w:rPr>
        <w:t xml:space="preserve">Atmospheric Recovery Litigation Around the World:  Funding Landscape Carbon Sequestration </w:t>
      </w:r>
      <w:r w:rsidR="0082257C">
        <w:rPr>
          <w:rFonts w:ascii="Times New Roman" w:hAnsi="Times New Roman" w:cs="Times New Roman"/>
          <w:i/>
          <w:iCs/>
        </w:rPr>
        <w:t>T</w:t>
      </w:r>
      <w:r w:rsidRPr="00834BAC">
        <w:rPr>
          <w:rFonts w:ascii="Times New Roman" w:hAnsi="Times New Roman" w:cs="Times New Roman"/>
          <w:i/>
          <w:iCs/>
        </w:rPr>
        <w:t>hrough Suits Against the Fossil Fuel Industry for Climate Natural Resource Damages.</w:t>
      </w:r>
      <w:r w:rsidRPr="00834BAC">
        <w:rPr>
          <w:rFonts w:ascii="Times New Roman" w:hAnsi="Times New Roman" w:cs="Times New Roman"/>
        </w:rPr>
        <w:t xml:space="preserve">  </w:t>
      </w:r>
      <w:r w:rsidR="0000781A">
        <w:rPr>
          <w:rFonts w:ascii="Times New Roman" w:hAnsi="Times New Roman" w:cs="Times New Roman"/>
        </w:rPr>
        <w:t>Excellent research assistance and analysis was provided by Callan Barrett, Research Fellow, Global Environmental Democracy Project, and Charles W. Woodward IV, Research Associate, University of Oregon School of Law Environmental and Natural Resources Law Center.</w:t>
      </w:r>
      <w:r w:rsidR="00DA1F6A">
        <w:rPr>
          <w:rFonts w:ascii="Times New Roman" w:hAnsi="Times New Roman" w:cs="Times New Roman"/>
        </w:rPr>
        <w:t xml:space="preserve">  </w:t>
      </w:r>
      <w:r w:rsidRPr="00834BAC">
        <w:rPr>
          <w:rFonts w:ascii="Times New Roman" w:hAnsi="Times New Roman" w:cs="Times New Roman"/>
        </w:rPr>
        <w:t xml:space="preserve">Due to space constraints, this chapter contains only minimal citations. For further reference and authorities, see Mary Christina Wood &amp; Dan </w:t>
      </w:r>
      <w:proofErr w:type="spellStart"/>
      <w:r w:rsidRPr="00834BAC">
        <w:rPr>
          <w:rFonts w:ascii="Times New Roman" w:hAnsi="Times New Roman" w:cs="Times New Roman"/>
        </w:rPr>
        <w:t>Galpern</w:t>
      </w:r>
      <w:proofErr w:type="spellEnd"/>
      <w:r w:rsidRPr="00834BAC">
        <w:rPr>
          <w:rFonts w:ascii="Times New Roman" w:hAnsi="Times New Roman" w:cs="Times New Roman"/>
        </w:rPr>
        <w:t xml:space="preserve">, </w:t>
      </w:r>
      <w:r w:rsidRPr="00834BAC">
        <w:rPr>
          <w:rFonts w:ascii="Times New Roman" w:hAnsi="Times New Roman" w:cs="Times New Roman"/>
          <w:i/>
          <w:iCs/>
        </w:rPr>
        <w:t>Atmospheric Recovery Litigation: Making the Fossil Fuel Industry Pay to Restore a Viable Climate System</w:t>
      </w:r>
      <w:r w:rsidRPr="00834BAC">
        <w:rPr>
          <w:rFonts w:ascii="Times New Roman" w:hAnsi="Times New Roman" w:cs="Times New Roman"/>
        </w:rPr>
        <w:t xml:space="preserve">, 45 </w:t>
      </w:r>
      <w:proofErr w:type="spellStart"/>
      <w:r w:rsidRPr="00834BAC">
        <w:rPr>
          <w:rFonts w:ascii="Times New Roman" w:hAnsi="Times New Roman" w:cs="Times New Roman"/>
          <w:smallCaps/>
        </w:rPr>
        <w:t>Envtl</w:t>
      </w:r>
      <w:proofErr w:type="spellEnd"/>
      <w:r w:rsidRPr="00834BAC">
        <w:rPr>
          <w:rFonts w:ascii="Times New Roman" w:hAnsi="Times New Roman" w:cs="Times New Roman"/>
          <w:smallCaps/>
        </w:rPr>
        <w:t>. L. 259</w:t>
      </w:r>
      <w:r w:rsidRPr="00834BAC">
        <w:rPr>
          <w:rFonts w:ascii="Times New Roman" w:hAnsi="Times New Roman" w:cs="Times New Roman"/>
        </w:rPr>
        <w:t xml:space="preserve"> (2015); Michael C. </w:t>
      </w:r>
      <w:proofErr w:type="spellStart"/>
      <w:r w:rsidRPr="00834BAC">
        <w:rPr>
          <w:rFonts w:ascii="Times New Roman" w:hAnsi="Times New Roman" w:cs="Times New Roman"/>
        </w:rPr>
        <w:t>Blumm</w:t>
      </w:r>
      <w:proofErr w:type="spellEnd"/>
      <w:r w:rsidRPr="00834BAC">
        <w:rPr>
          <w:rFonts w:ascii="Times New Roman" w:hAnsi="Times New Roman" w:cs="Times New Roman"/>
        </w:rPr>
        <w:t xml:space="preserve"> &amp; Mary Christina Wood, </w:t>
      </w:r>
      <w:r w:rsidRPr="00834BAC">
        <w:rPr>
          <w:rFonts w:ascii="Times New Roman" w:hAnsi="Times New Roman" w:cs="Times New Roman"/>
          <w:i/>
          <w:iCs/>
        </w:rPr>
        <w:t>“No Ordinary Lawsuit”: Climate Change, Due Process, and the Public Trust Doctrine</w:t>
      </w:r>
      <w:r w:rsidRPr="00834BAC">
        <w:rPr>
          <w:rFonts w:ascii="Times New Roman" w:hAnsi="Times New Roman" w:cs="Times New Roman"/>
        </w:rPr>
        <w:t xml:space="preserve">, 67 </w:t>
      </w:r>
      <w:r w:rsidRPr="00834BAC">
        <w:rPr>
          <w:rFonts w:ascii="Times New Roman" w:hAnsi="Times New Roman" w:cs="Times New Roman"/>
          <w:smallCaps/>
        </w:rPr>
        <w:t>Am. U. L. Rev.</w:t>
      </w:r>
      <w:r w:rsidRPr="00834BAC">
        <w:rPr>
          <w:rFonts w:ascii="Times New Roman" w:hAnsi="Times New Roman" w:cs="Times New Roman"/>
        </w:rPr>
        <w:t xml:space="preserve"> 1 (2017); Katrina Fischer </w:t>
      </w:r>
      <w:proofErr w:type="spellStart"/>
      <w:r w:rsidRPr="00834BAC">
        <w:rPr>
          <w:rFonts w:ascii="Times New Roman" w:hAnsi="Times New Roman" w:cs="Times New Roman"/>
        </w:rPr>
        <w:t>Kuh</w:t>
      </w:r>
      <w:proofErr w:type="spellEnd"/>
      <w:r w:rsidRPr="00834BAC">
        <w:rPr>
          <w:rFonts w:ascii="Times New Roman" w:hAnsi="Times New Roman" w:cs="Times New Roman"/>
        </w:rPr>
        <w:t xml:space="preserve">, </w:t>
      </w:r>
      <w:r w:rsidRPr="00834BAC">
        <w:rPr>
          <w:rFonts w:ascii="Times New Roman" w:hAnsi="Times New Roman" w:cs="Times New Roman"/>
          <w:i/>
          <w:iCs/>
        </w:rPr>
        <w:t>Judicial Climate Engagement</w:t>
      </w:r>
      <w:r w:rsidRPr="00834BAC">
        <w:rPr>
          <w:rFonts w:ascii="Times New Roman" w:hAnsi="Times New Roman" w:cs="Times New Roman"/>
        </w:rPr>
        <w:t xml:space="preserve">, 46 </w:t>
      </w:r>
      <w:r w:rsidRPr="00834BAC">
        <w:rPr>
          <w:rFonts w:ascii="Times New Roman" w:hAnsi="Times New Roman" w:cs="Times New Roman"/>
          <w:smallCaps/>
        </w:rPr>
        <w:t>Ecology L. Q.</w:t>
      </w:r>
      <w:r w:rsidRPr="00834BAC">
        <w:rPr>
          <w:rFonts w:ascii="Times New Roman" w:hAnsi="Times New Roman" w:cs="Times New Roman"/>
        </w:rPr>
        <w:t xml:space="preserve"> (2019).</w:t>
      </w:r>
    </w:p>
  </w:footnote>
  <w:footnote w:id="2">
    <w:p w:rsidR="00401159" w:rsidRPr="00834BAC" w:rsidRDefault="00401159">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James Hansen et al., </w:t>
      </w:r>
      <w:r w:rsidRPr="00834BAC">
        <w:rPr>
          <w:rFonts w:ascii="Times New Roman" w:hAnsi="Times New Roman" w:cs="Times New Roman"/>
          <w:i/>
          <w:iCs/>
        </w:rPr>
        <w:t>Assessing “</w:t>
      </w:r>
      <w:r>
        <w:rPr>
          <w:rFonts w:ascii="Times New Roman" w:hAnsi="Times New Roman" w:cs="Times New Roman"/>
          <w:i/>
          <w:iCs/>
        </w:rPr>
        <w:t>D</w:t>
      </w:r>
      <w:r w:rsidRPr="00834BAC">
        <w:rPr>
          <w:rFonts w:ascii="Times New Roman" w:hAnsi="Times New Roman" w:cs="Times New Roman"/>
          <w:i/>
          <w:iCs/>
        </w:rPr>
        <w:t xml:space="preserve">angerous </w:t>
      </w:r>
      <w:r>
        <w:rPr>
          <w:rFonts w:ascii="Times New Roman" w:hAnsi="Times New Roman" w:cs="Times New Roman"/>
          <w:i/>
          <w:iCs/>
        </w:rPr>
        <w:t>C</w:t>
      </w:r>
      <w:r w:rsidRPr="00834BAC">
        <w:rPr>
          <w:rFonts w:ascii="Times New Roman" w:hAnsi="Times New Roman" w:cs="Times New Roman"/>
          <w:i/>
          <w:iCs/>
        </w:rPr>
        <w:t xml:space="preserve">limate </w:t>
      </w:r>
      <w:r>
        <w:rPr>
          <w:rFonts w:ascii="Times New Roman" w:hAnsi="Times New Roman" w:cs="Times New Roman"/>
          <w:i/>
          <w:iCs/>
        </w:rPr>
        <w:t>C</w:t>
      </w:r>
      <w:r w:rsidRPr="00834BAC">
        <w:rPr>
          <w:rFonts w:ascii="Times New Roman" w:hAnsi="Times New Roman" w:cs="Times New Roman"/>
          <w:i/>
          <w:iCs/>
        </w:rPr>
        <w:t xml:space="preserve">hange”: Requiring </w:t>
      </w:r>
      <w:r>
        <w:rPr>
          <w:rFonts w:ascii="Times New Roman" w:hAnsi="Times New Roman" w:cs="Times New Roman"/>
          <w:i/>
          <w:iCs/>
        </w:rPr>
        <w:t>R</w:t>
      </w:r>
      <w:r w:rsidRPr="00834BAC">
        <w:rPr>
          <w:rFonts w:ascii="Times New Roman" w:hAnsi="Times New Roman" w:cs="Times New Roman"/>
          <w:i/>
          <w:iCs/>
        </w:rPr>
        <w:t xml:space="preserve">eduction of </w:t>
      </w:r>
      <w:r>
        <w:rPr>
          <w:rFonts w:ascii="Times New Roman" w:hAnsi="Times New Roman" w:cs="Times New Roman"/>
          <w:i/>
          <w:iCs/>
        </w:rPr>
        <w:t>C</w:t>
      </w:r>
      <w:r w:rsidRPr="00834BAC">
        <w:rPr>
          <w:rFonts w:ascii="Times New Roman" w:hAnsi="Times New Roman" w:cs="Times New Roman"/>
          <w:i/>
          <w:iCs/>
        </w:rPr>
        <w:t xml:space="preserve">arbon </w:t>
      </w:r>
      <w:r>
        <w:rPr>
          <w:rFonts w:ascii="Times New Roman" w:hAnsi="Times New Roman" w:cs="Times New Roman"/>
          <w:i/>
          <w:iCs/>
        </w:rPr>
        <w:t>E</w:t>
      </w:r>
      <w:r w:rsidRPr="00834BAC">
        <w:rPr>
          <w:rFonts w:ascii="Times New Roman" w:hAnsi="Times New Roman" w:cs="Times New Roman"/>
          <w:i/>
          <w:iCs/>
        </w:rPr>
        <w:t xml:space="preserve">missions to </w:t>
      </w:r>
      <w:r>
        <w:rPr>
          <w:rFonts w:ascii="Times New Roman" w:hAnsi="Times New Roman" w:cs="Times New Roman"/>
          <w:i/>
          <w:iCs/>
        </w:rPr>
        <w:t>P</w:t>
      </w:r>
      <w:r w:rsidRPr="00834BAC">
        <w:rPr>
          <w:rFonts w:ascii="Times New Roman" w:hAnsi="Times New Roman" w:cs="Times New Roman"/>
          <w:i/>
          <w:iCs/>
        </w:rPr>
        <w:t xml:space="preserve">rotect </w:t>
      </w:r>
      <w:r>
        <w:rPr>
          <w:rFonts w:ascii="Times New Roman" w:hAnsi="Times New Roman" w:cs="Times New Roman"/>
          <w:i/>
          <w:iCs/>
        </w:rPr>
        <w:t>Y</w:t>
      </w:r>
      <w:r w:rsidRPr="00834BAC">
        <w:rPr>
          <w:rFonts w:ascii="Times New Roman" w:hAnsi="Times New Roman" w:cs="Times New Roman"/>
          <w:i/>
          <w:iCs/>
        </w:rPr>
        <w:t xml:space="preserve">oung </w:t>
      </w:r>
      <w:r>
        <w:rPr>
          <w:rFonts w:ascii="Times New Roman" w:hAnsi="Times New Roman" w:cs="Times New Roman"/>
          <w:i/>
          <w:iCs/>
        </w:rPr>
        <w:t>P</w:t>
      </w:r>
      <w:r w:rsidRPr="00834BAC">
        <w:rPr>
          <w:rFonts w:ascii="Times New Roman" w:hAnsi="Times New Roman" w:cs="Times New Roman"/>
          <w:i/>
          <w:iCs/>
        </w:rPr>
        <w:t xml:space="preserve">eople, </w:t>
      </w:r>
      <w:r>
        <w:rPr>
          <w:rFonts w:ascii="Times New Roman" w:hAnsi="Times New Roman" w:cs="Times New Roman"/>
          <w:i/>
          <w:iCs/>
        </w:rPr>
        <w:t>F</w:t>
      </w:r>
      <w:r w:rsidRPr="00834BAC">
        <w:rPr>
          <w:rFonts w:ascii="Times New Roman" w:hAnsi="Times New Roman" w:cs="Times New Roman"/>
          <w:i/>
          <w:iCs/>
        </w:rPr>
        <w:t xml:space="preserve">uture </w:t>
      </w:r>
      <w:r>
        <w:rPr>
          <w:rFonts w:ascii="Times New Roman" w:hAnsi="Times New Roman" w:cs="Times New Roman"/>
          <w:i/>
          <w:iCs/>
        </w:rPr>
        <w:t>G</w:t>
      </w:r>
      <w:r w:rsidRPr="00834BAC">
        <w:rPr>
          <w:rFonts w:ascii="Times New Roman" w:hAnsi="Times New Roman" w:cs="Times New Roman"/>
          <w:i/>
          <w:iCs/>
        </w:rPr>
        <w:t xml:space="preserve">enerations and </w:t>
      </w:r>
      <w:r>
        <w:rPr>
          <w:rFonts w:ascii="Times New Roman" w:hAnsi="Times New Roman" w:cs="Times New Roman"/>
          <w:i/>
          <w:iCs/>
        </w:rPr>
        <w:t>N</w:t>
      </w:r>
      <w:r w:rsidRPr="00834BAC">
        <w:rPr>
          <w:rFonts w:ascii="Times New Roman" w:hAnsi="Times New Roman" w:cs="Times New Roman"/>
          <w:i/>
          <w:iCs/>
        </w:rPr>
        <w:t>ature</w:t>
      </w:r>
      <w:r w:rsidRPr="00834BAC">
        <w:rPr>
          <w:rFonts w:ascii="Times New Roman" w:hAnsi="Times New Roman" w:cs="Times New Roman"/>
        </w:rPr>
        <w:t xml:space="preserve">, </w:t>
      </w:r>
      <w:r w:rsidRPr="00834BAC">
        <w:rPr>
          <w:rFonts w:ascii="Times New Roman" w:hAnsi="Times New Roman" w:cs="Times New Roman"/>
          <w:smallCaps/>
        </w:rPr>
        <w:t>PL</w:t>
      </w:r>
      <w:r w:rsidR="0082257C">
        <w:rPr>
          <w:rFonts w:ascii="Times New Roman" w:hAnsi="Times New Roman" w:cs="Times New Roman"/>
          <w:smallCaps/>
        </w:rPr>
        <w:t>O</w:t>
      </w:r>
      <w:r w:rsidRPr="00834BAC">
        <w:rPr>
          <w:rFonts w:ascii="Times New Roman" w:hAnsi="Times New Roman" w:cs="Times New Roman"/>
          <w:smallCaps/>
        </w:rPr>
        <w:t>S One</w:t>
      </w:r>
      <w:r w:rsidRPr="00834BAC">
        <w:rPr>
          <w:rFonts w:ascii="Times New Roman" w:hAnsi="Times New Roman" w:cs="Times New Roman"/>
        </w:rPr>
        <w:t xml:space="preserve"> (2013)</w:t>
      </w:r>
      <w:r>
        <w:rPr>
          <w:rFonts w:ascii="Times New Roman" w:hAnsi="Times New Roman" w:cs="Times New Roman"/>
        </w:rPr>
        <w:t xml:space="preserve">; </w:t>
      </w:r>
      <w:r w:rsidRPr="00834BAC">
        <w:rPr>
          <w:rFonts w:ascii="Times New Roman" w:hAnsi="Times New Roman" w:cs="Times New Roman"/>
        </w:rPr>
        <w:t xml:space="preserve">G. Philip Robertson, Expert Report for </w:t>
      </w:r>
      <w:r w:rsidRPr="00834BAC">
        <w:rPr>
          <w:rFonts w:ascii="Times New Roman" w:hAnsi="Times New Roman" w:cs="Times New Roman"/>
          <w:i/>
          <w:iCs/>
        </w:rPr>
        <w:t>Juliana v. United States</w:t>
      </w:r>
      <w:r w:rsidRPr="00834BAC">
        <w:rPr>
          <w:rFonts w:ascii="Times New Roman" w:hAnsi="Times New Roman" w:cs="Times New Roman"/>
        </w:rPr>
        <w:t xml:space="preserve">, Doc. 263-1, 29 (June 28, 2018). </w:t>
      </w:r>
    </w:p>
  </w:footnote>
  <w:footnote w:id="3">
    <w:p w:rsidR="00401159" w:rsidRPr="00834BAC" w:rsidRDefault="00401159">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Bronson W. </w:t>
      </w:r>
      <w:proofErr w:type="spellStart"/>
      <w:r w:rsidRPr="00834BAC">
        <w:rPr>
          <w:rFonts w:ascii="Times New Roman" w:hAnsi="Times New Roman" w:cs="Times New Roman"/>
        </w:rPr>
        <w:t>Griscom</w:t>
      </w:r>
      <w:proofErr w:type="spellEnd"/>
      <w:r w:rsidRPr="00834BAC">
        <w:rPr>
          <w:rFonts w:ascii="Times New Roman" w:hAnsi="Times New Roman" w:cs="Times New Roman"/>
        </w:rPr>
        <w:t xml:space="preserve"> et al., </w:t>
      </w:r>
      <w:r w:rsidRPr="00834BAC">
        <w:rPr>
          <w:rFonts w:ascii="Times New Roman" w:hAnsi="Times New Roman" w:cs="Times New Roman"/>
          <w:i/>
          <w:iCs/>
        </w:rPr>
        <w:t>Natural Climate Solutions</w:t>
      </w:r>
      <w:r w:rsidRPr="00834BAC">
        <w:rPr>
          <w:rFonts w:ascii="Times New Roman" w:hAnsi="Times New Roman" w:cs="Times New Roman"/>
        </w:rPr>
        <w:t xml:space="preserve">, 114 </w:t>
      </w:r>
      <w:r w:rsidRPr="00834BAC">
        <w:rPr>
          <w:rFonts w:ascii="Times New Roman" w:hAnsi="Times New Roman" w:cs="Times New Roman"/>
          <w:smallCaps/>
        </w:rPr>
        <w:t>Proc. Nat’l Acad. of Sci.</w:t>
      </w:r>
      <w:r w:rsidRPr="00834BAC">
        <w:rPr>
          <w:rFonts w:ascii="Times New Roman" w:hAnsi="Times New Roman" w:cs="Times New Roman"/>
        </w:rPr>
        <w:t xml:space="preserve"> 11645 (2017).</w:t>
      </w:r>
    </w:p>
  </w:footnote>
  <w:footnote w:id="4">
    <w:p w:rsidR="00401159" w:rsidRPr="00834BAC" w:rsidRDefault="00401159" w:rsidP="001522DF">
      <w:pPr>
        <w:rPr>
          <w:rFonts w:ascii="Times New Roman" w:hAnsi="Times New Roman" w:cs="Times New Roman"/>
          <w:sz w:val="20"/>
          <w:szCs w:val="20"/>
        </w:rPr>
      </w:pPr>
      <w:r w:rsidRPr="00834BAC">
        <w:rPr>
          <w:rStyle w:val="FootnoteReference"/>
          <w:rFonts w:ascii="Times New Roman" w:hAnsi="Times New Roman" w:cs="Times New Roman"/>
          <w:sz w:val="20"/>
          <w:szCs w:val="20"/>
        </w:rPr>
        <w:footnoteRef/>
      </w:r>
      <w:r w:rsidRPr="00834BAC">
        <w:rPr>
          <w:rFonts w:ascii="Times New Roman" w:hAnsi="Times New Roman" w:cs="Times New Roman"/>
          <w:sz w:val="20"/>
          <w:szCs w:val="20"/>
        </w:rPr>
        <w:t xml:space="preserve"> Stephen Leahy, </w:t>
      </w:r>
      <w:r w:rsidRPr="00834BAC">
        <w:rPr>
          <w:rFonts w:ascii="Times New Roman" w:hAnsi="Times New Roman" w:cs="Times New Roman"/>
          <w:i/>
          <w:iCs/>
          <w:sz w:val="20"/>
          <w:szCs w:val="20"/>
        </w:rPr>
        <w:t>One Million Species at Risk of Extinction, UN Report Warns</w:t>
      </w:r>
      <w:r w:rsidRPr="00834BAC">
        <w:rPr>
          <w:rFonts w:ascii="Times New Roman" w:hAnsi="Times New Roman" w:cs="Times New Roman"/>
          <w:sz w:val="20"/>
          <w:szCs w:val="20"/>
        </w:rPr>
        <w:t xml:space="preserve">, </w:t>
      </w:r>
      <w:r w:rsidRPr="00834BAC">
        <w:rPr>
          <w:rFonts w:ascii="Times New Roman" w:hAnsi="Times New Roman" w:cs="Times New Roman"/>
          <w:smallCaps/>
          <w:sz w:val="20"/>
          <w:szCs w:val="20"/>
        </w:rPr>
        <w:t>Nat’l Geographic</w:t>
      </w:r>
      <w:r w:rsidRPr="00834BAC">
        <w:rPr>
          <w:rFonts w:ascii="Times New Roman" w:hAnsi="Times New Roman" w:cs="Times New Roman"/>
          <w:sz w:val="20"/>
          <w:szCs w:val="20"/>
        </w:rPr>
        <w:t xml:space="preserve"> (May 6, 2019). </w:t>
      </w:r>
    </w:p>
    <w:p w:rsidR="00401159" w:rsidRPr="00834BAC" w:rsidRDefault="00401159" w:rsidP="000A3979">
      <w:pPr>
        <w:pStyle w:val="FootnoteText"/>
        <w:rPr>
          <w:rFonts w:ascii="Times New Roman" w:hAnsi="Times New Roman" w:cs="Times New Roman"/>
        </w:rPr>
      </w:pPr>
    </w:p>
  </w:footnote>
  <w:footnote w:id="5">
    <w:p w:rsidR="00401159" w:rsidRPr="00834BAC" w:rsidRDefault="00401159" w:rsidP="00DF032A">
      <w:pPr>
        <w:pStyle w:val="TableofAuthorities"/>
        <w:tabs>
          <w:tab w:val="right" w:leader="dot" w:pos="9350"/>
        </w:tabs>
        <w:rPr>
          <w:rFonts w:ascii="Times New Roman" w:hAnsi="Times New Roman" w:cs="Times New Roman"/>
          <w:i/>
          <w:noProof/>
          <w:sz w:val="20"/>
          <w:szCs w:val="20"/>
        </w:rPr>
      </w:pPr>
      <w:r w:rsidRPr="00834BAC">
        <w:rPr>
          <w:rStyle w:val="FootnoteReference"/>
          <w:rFonts w:ascii="Times New Roman" w:hAnsi="Times New Roman" w:cs="Times New Roman"/>
          <w:sz w:val="20"/>
          <w:szCs w:val="20"/>
        </w:rPr>
        <w:footnoteRef/>
      </w:r>
      <w:r w:rsidRPr="00834BAC">
        <w:rPr>
          <w:rFonts w:ascii="Times New Roman" w:hAnsi="Times New Roman" w:cs="Times New Roman"/>
          <w:sz w:val="20"/>
          <w:szCs w:val="20"/>
        </w:rPr>
        <w:t xml:space="preserve"> </w:t>
      </w:r>
      <w:r w:rsidRPr="00834BAC">
        <w:rPr>
          <w:rFonts w:ascii="Times New Roman" w:hAnsi="Times New Roman" w:cs="Times New Roman"/>
          <w:i/>
          <w:noProof/>
          <w:sz w:val="20"/>
          <w:szCs w:val="20"/>
        </w:rPr>
        <w:t xml:space="preserve">Juliana v. United States, </w:t>
      </w:r>
      <w:r w:rsidRPr="00834BAC">
        <w:rPr>
          <w:rFonts w:ascii="Times New Roman" w:hAnsi="Times New Roman" w:cs="Times New Roman"/>
          <w:noProof/>
          <w:sz w:val="20"/>
          <w:szCs w:val="20"/>
        </w:rPr>
        <w:t>217 F. Supp. 3d 1224 (D. Or. 2016)</w:t>
      </w:r>
      <w:r>
        <w:rPr>
          <w:rFonts w:ascii="Times New Roman" w:hAnsi="Times New Roman" w:cs="Times New Roman"/>
          <w:noProof/>
          <w:sz w:val="20"/>
          <w:szCs w:val="20"/>
        </w:rPr>
        <w:t>, on appeal.</w:t>
      </w:r>
    </w:p>
  </w:footnote>
  <w:footnote w:id="6">
    <w:p w:rsidR="00401159" w:rsidRPr="00834BAC" w:rsidRDefault="00401159">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For discussion, see Gerald Torres &amp; Nathan Bellinger, </w:t>
      </w:r>
      <w:r w:rsidRPr="00834BAC">
        <w:rPr>
          <w:rFonts w:ascii="Times New Roman" w:hAnsi="Times New Roman" w:cs="Times New Roman"/>
          <w:i/>
        </w:rPr>
        <w:t>The Public Trust: The Law’s DNA</w:t>
      </w:r>
      <w:r w:rsidRPr="00834BAC">
        <w:rPr>
          <w:rFonts w:ascii="Times New Roman" w:hAnsi="Times New Roman" w:cs="Times New Roman"/>
        </w:rPr>
        <w:t xml:space="preserve">, 4 </w:t>
      </w:r>
      <w:r w:rsidRPr="00834BAC">
        <w:rPr>
          <w:rFonts w:ascii="Times New Roman" w:hAnsi="Times New Roman" w:cs="Times New Roman"/>
          <w:smallCaps/>
        </w:rPr>
        <w:t xml:space="preserve">Wake Forest J L </w:t>
      </w:r>
      <w:proofErr w:type="spellStart"/>
      <w:r w:rsidRPr="00834BAC">
        <w:rPr>
          <w:rFonts w:ascii="Times New Roman" w:hAnsi="Times New Roman" w:cs="Times New Roman"/>
          <w:smallCaps/>
        </w:rPr>
        <w:t>Pol’y</w:t>
      </w:r>
      <w:proofErr w:type="spellEnd"/>
      <w:r w:rsidRPr="00834BAC">
        <w:rPr>
          <w:rFonts w:ascii="Times New Roman" w:hAnsi="Times New Roman" w:cs="Times New Roman"/>
        </w:rPr>
        <w:t xml:space="preserve"> 281</w:t>
      </w:r>
      <w:r w:rsidRPr="00834BAC">
        <w:rPr>
          <w:rFonts w:ascii="Times New Roman" w:hAnsi="Times New Roman" w:cs="Times New Roman"/>
          <w:spacing w:val="2"/>
        </w:rPr>
        <w:t xml:space="preserve"> </w:t>
      </w:r>
      <w:r w:rsidRPr="00834BAC">
        <w:rPr>
          <w:rFonts w:ascii="Times New Roman" w:hAnsi="Times New Roman" w:cs="Times New Roman"/>
        </w:rPr>
        <w:t>(2014).</w:t>
      </w:r>
    </w:p>
  </w:footnote>
  <w:footnote w:id="7">
    <w:p w:rsidR="00401159" w:rsidRPr="00834BAC" w:rsidRDefault="00401159">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See </w:t>
      </w:r>
      <w:r w:rsidRPr="00834BAC">
        <w:rPr>
          <w:rFonts w:ascii="Times New Roman" w:hAnsi="Times New Roman" w:cs="Times New Roman"/>
          <w:i/>
        </w:rPr>
        <w:t>Robinson Twp. v. Pennsylvania</w:t>
      </w:r>
      <w:r w:rsidRPr="00834BAC">
        <w:rPr>
          <w:rFonts w:ascii="Times New Roman" w:hAnsi="Times New Roman" w:cs="Times New Roman"/>
        </w:rPr>
        <w:t>, 83 A.3d 901, 948 (Pa. 2013)</w:t>
      </w:r>
      <w:r w:rsidR="00BA6355">
        <w:rPr>
          <w:rFonts w:ascii="Times New Roman" w:hAnsi="Times New Roman" w:cs="Times New Roman"/>
        </w:rPr>
        <w:t xml:space="preserve"> (plurality opinion)</w:t>
      </w:r>
      <w:r w:rsidRPr="00401159">
        <w:rPr>
          <w:rFonts w:ascii="Times New Roman" w:hAnsi="Times New Roman" w:cs="Times New Roman"/>
        </w:rPr>
        <w:fldChar w:fldCharType="begin"/>
      </w:r>
      <w:r w:rsidRPr="00834BAC">
        <w:rPr>
          <w:rFonts w:ascii="Times New Roman" w:hAnsi="Times New Roman" w:cs="Times New Roman"/>
        </w:rPr>
        <w:instrText xml:space="preserve"> TA \l "</w:instrText>
      </w:r>
      <w:r w:rsidRPr="00834BAC">
        <w:rPr>
          <w:rFonts w:ascii="Times New Roman" w:hAnsi="Times New Roman" w:cs="Times New Roman"/>
          <w:i/>
        </w:rPr>
        <w:instrText>Robinson Twp. v. Pennsylvania</w:instrText>
      </w:r>
      <w:r w:rsidRPr="00834BAC">
        <w:rPr>
          <w:rFonts w:ascii="Times New Roman" w:hAnsi="Times New Roman" w:cs="Times New Roman"/>
        </w:rPr>
        <w:instrText xml:space="preserve">, 623 Pa 546, 83 A3d 901 (2013)" \s "Robinson Twp. v. Pennsylvania, 623 Pa 546, 642, 83 A3d 901, 948 (2013)" \c 1 </w:instrText>
      </w:r>
      <w:r w:rsidRPr="00401159">
        <w:rPr>
          <w:rFonts w:ascii="Times New Roman" w:hAnsi="Times New Roman" w:cs="Times New Roman"/>
        </w:rPr>
        <w:fldChar w:fldCharType="end"/>
      </w:r>
      <w:r w:rsidRPr="00834BAC">
        <w:rPr>
          <w:rFonts w:ascii="Times New Roman" w:hAnsi="Times New Roman" w:cs="Times New Roman"/>
        </w:rPr>
        <w:t xml:space="preserve">.  </w:t>
      </w:r>
    </w:p>
  </w:footnote>
  <w:footnote w:id="8">
    <w:p w:rsidR="00401159" w:rsidRPr="00834BAC" w:rsidRDefault="00401159" w:rsidP="000A3979">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217 F. Supp. 3d at 1250.</w:t>
      </w:r>
    </w:p>
  </w:footnote>
  <w:footnote w:id="9">
    <w:p w:rsidR="00401159" w:rsidRPr="00834BAC" w:rsidRDefault="00401159" w:rsidP="009050A9">
      <w:pPr>
        <w:rPr>
          <w:rFonts w:ascii="Times New Roman" w:eastAsia="Times New Roman" w:hAnsi="Times New Roman" w:cs="Times New Roman"/>
          <w:sz w:val="20"/>
          <w:szCs w:val="20"/>
        </w:rPr>
      </w:pPr>
      <w:r w:rsidRPr="00834BAC">
        <w:rPr>
          <w:rStyle w:val="FootnoteReference"/>
          <w:rFonts w:ascii="Times New Roman" w:hAnsi="Times New Roman" w:cs="Times New Roman"/>
          <w:sz w:val="20"/>
          <w:szCs w:val="20"/>
        </w:rPr>
        <w:footnoteRef/>
      </w:r>
      <w:r w:rsidRPr="00834BAC">
        <w:rPr>
          <w:rFonts w:ascii="Times New Roman" w:hAnsi="Times New Roman" w:cs="Times New Roman"/>
          <w:sz w:val="20"/>
          <w:szCs w:val="20"/>
        </w:rPr>
        <w:t xml:space="preserve"> </w:t>
      </w:r>
      <w:r w:rsidRPr="00834BAC">
        <w:rPr>
          <w:rFonts w:ascii="Times New Roman" w:hAnsi="Times New Roman" w:cs="Times New Roman"/>
          <w:i/>
          <w:sz w:val="20"/>
          <w:szCs w:val="20"/>
        </w:rPr>
        <w:t>Foster v. Wash. Dep’t of Ecology</w:t>
      </w:r>
      <w:r w:rsidRPr="00834BAC">
        <w:rPr>
          <w:rFonts w:ascii="Times New Roman" w:hAnsi="Times New Roman" w:cs="Times New Roman"/>
          <w:sz w:val="20"/>
          <w:szCs w:val="20"/>
        </w:rPr>
        <w:t xml:space="preserve">, </w:t>
      </w:r>
      <w:r w:rsidRPr="00834BAC">
        <w:rPr>
          <w:rFonts w:ascii="Times New Roman" w:eastAsia="Times New Roman" w:hAnsi="Times New Roman" w:cs="Times New Roman"/>
          <w:sz w:val="20"/>
          <w:szCs w:val="20"/>
        </w:rPr>
        <w:t xml:space="preserve">No. 14-2-25295-1 SEA, </w:t>
      </w:r>
      <w:r w:rsidRPr="00834BAC">
        <w:rPr>
          <w:rFonts w:ascii="Times New Roman" w:hAnsi="Times New Roman" w:cs="Times New Roman"/>
          <w:sz w:val="20"/>
          <w:szCs w:val="20"/>
        </w:rPr>
        <w:t>8 (Wash. Super. Ct. Nov. 15, 2015).</w:t>
      </w:r>
    </w:p>
  </w:footnote>
  <w:footnote w:id="10">
    <w:p w:rsidR="00401159" w:rsidRDefault="00401159">
      <w:pPr>
        <w:pStyle w:val="FootnoteText"/>
      </w:pPr>
      <w:r>
        <w:rPr>
          <w:rStyle w:val="FootnoteReference"/>
        </w:rPr>
        <w:footnoteRef/>
      </w:r>
      <w:r>
        <w:t xml:space="preserve"> Such lawsuits do not seek </w:t>
      </w:r>
      <w:r w:rsidRPr="00834BAC">
        <w:rPr>
          <w:rFonts w:ascii="Times New Roman" w:hAnsi="Times New Roman" w:cs="Times New Roman"/>
        </w:rPr>
        <w:t xml:space="preserve">natural resource damages for </w:t>
      </w:r>
      <w:r>
        <w:rPr>
          <w:rFonts w:ascii="Times New Roman" w:hAnsi="Times New Roman" w:cs="Times New Roman"/>
        </w:rPr>
        <w:t xml:space="preserve">harm </w:t>
      </w:r>
      <w:r w:rsidRPr="00834BAC">
        <w:rPr>
          <w:rFonts w:ascii="Times New Roman" w:hAnsi="Times New Roman" w:cs="Times New Roman"/>
        </w:rPr>
        <w:t xml:space="preserve">to corollary natural assets such as species, waterways, coastlines, oceans, and forests.  </w:t>
      </w:r>
    </w:p>
  </w:footnote>
  <w:footnote w:id="11">
    <w:p w:rsidR="00401159" w:rsidRPr="00834BAC" w:rsidRDefault="00401159" w:rsidP="00DD4E5A">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See </w:t>
      </w:r>
      <w:r w:rsidRPr="00834BAC">
        <w:rPr>
          <w:rFonts w:ascii="Times New Roman" w:hAnsi="Times New Roman" w:cs="Times New Roman"/>
          <w:i/>
          <w:iCs/>
        </w:rPr>
        <w:t>supra</w:t>
      </w:r>
      <w:r w:rsidRPr="00834BAC">
        <w:rPr>
          <w:rFonts w:ascii="Times New Roman" w:hAnsi="Times New Roman" w:cs="Times New Roman"/>
        </w:rPr>
        <w:t xml:space="preserve">, note </w:t>
      </w:r>
      <w:r w:rsidR="00C9262B">
        <w:rPr>
          <w:rFonts w:ascii="Times New Roman" w:hAnsi="Times New Roman" w:cs="Times New Roman"/>
        </w:rPr>
        <w:t>3</w:t>
      </w:r>
      <w:r w:rsidRPr="00834BAC">
        <w:rPr>
          <w:rFonts w:ascii="Times New Roman" w:hAnsi="Times New Roman" w:cs="Times New Roman"/>
        </w:rPr>
        <w:t>.</w:t>
      </w:r>
    </w:p>
  </w:footnote>
  <w:footnote w:id="12">
    <w:p w:rsidR="00401159" w:rsidRPr="00834BAC" w:rsidRDefault="00401159" w:rsidP="007546CB">
      <w:pPr>
        <w:rPr>
          <w:rFonts w:ascii="Times New Roman" w:eastAsia="Times New Roman" w:hAnsi="Times New Roman" w:cs="Times New Roman"/>
          <w:sz w:val="20"/>
          <w:szCs w:val="20"/>
        </w:rPr>
      </w:pPr>
      <w:r w:rsidRPr="00834BAC">
        <w:rPr>
          <w:rStyle w:val="FootnoteReference"/>
          <w:rFonts w:ascii="Times New Roman" w:hAnsi="Times New Roman" w:cs="Times New Roman"/>
          <w:sz w:val="20"/>
          <w:szCs w:val="20"/>
        </w:rPr>
        <w:footnoteRef/>
      </w:r>
      <w:r w:rsidRPr="00834BAC">
        <w:rPr>
          <w:rFonts w:ascii="Times New Roman" w:hAnsi="Times New Roman" w:cs="Times New Roman"/>
          <w:sz w:val="20"/>
          <w:szCs w:val="20"/>
        </w:rPr>
        <w:t xml:space="preserve"> More categories of analogous litigation continue to emerge.  The State of Vermont has filed suit against manufacturers of </w:t>
      </w:r>
      <w:r w:rsidRPr="00834BAC">
        <w:rPr>
          <w:rFonts w:ascii="Times New Roman" w:eastAsia="Times New Roman" w:hAnsi="Times New Roman" w:cs="Times New Roman"/>
          <w:sz w:val="20"/>
          <w:szCs w:val="20"/>
        </w:rPr>
        <w:t>per-and polyfluoroalkyl substance</w:t>
      </w:r>
      <w:r w:rsidRPr="00834BAC">
        <w:rPr>
          <w:rFonts w:ascii="Times New Roman" w:hAnsi="Times New Roman" w:cs="Times New Roman"/>
          <w:sz w:val="20"/>
          <w:szCs w:val="20"/>
        </w:rPr>
        <w:t>s (PFAS)</w:t>
      </w:r>
      <w:r>
        <w:rPr>
          <w:rFonts w:ascii="Times New Roman" w:hAnsi="Times New Roman" w:cs="Times New Roman"/>
          <w:sz w:val="20"/>
          <w:szCs w:val="20"/>
        </w:rPr>
        <w:t xml:space="preserve">, invoking its </w:t>
      </w:r>
      <w:proofErr w:type="spellStart"/>
      <w:r w:rsidRPr="00834BAC">
        <w:rPr>
          <w:rFonts w:ascii="Times New Roman" w:hAnsi="Times New Roman" w:cs="Times New Roman"/>
          <w:i/>
          <w:iCs/>
          <w:sz w:val="20"/>
          <w:szCs w:val="20"/>
        </w:rPr>
        <w:t>parens</w:t>
      </w:r>
      <w:proofErr w:type="spellEnd"/>
      <w:r w:rsidRPr="00834BAC">
        <w:rPr>
          <w:rFonts w:ascii="Times New Roman" w:hAnsi="Times New Roman" w:cs="Times New Roman"/>
          <w:i/>
          <w:iCs/>
          <w:sz w:val="20"/>
          <w:szCs w:val="20"/>
        </w:rPr>
        <w:t xml:space="preserve"> patriae</w:t>
      </w:r>
      <w:r w:rsidRPr="00834BAC">
        <w:rPr>
          <w:rFonts w:ascii="Times New Roman" w:hAnsi="Times New Roman" w:cs="Times New Roman"/>
          <w:sz w:val="20"/>
          <w:szCs w:val="20"/>
        </w:rPr>
        <w:t xml:space="preserve"> and trust capacity </w:t>
      </w:r>
      <w:r>
        <w:rPr>
          <w:rFonts w:ascii="Times New Roman" w:hAnsi="Times New Roman" w:cs="Times New Roman"/>
          <w:sz w:val="20"/>
          <w:szCs w:val="20"/>
        </w:rPr>
        <w:t>to seek</w:t>
      </w:r>
      <w:r w:rsidRPr="00834BAC">
        <w:rPr>
          <w:rFonts w:ascii="Times New Roman" w:hAnsi="Times New Roman" w:cs="Times New Roman"/>
          <w:sz w:val="20"/>
          <w:szCs w:val="20"/>
        </w:rPr>
        <w:t xml:space="preserve"> natural resource damages caused by defendants’ products.  PFAS are toxic chemicals found in firefighting foams, stain-and</w:t>
      </w:r>
      <w:r>
        <w:rPr>
          <w:rFonts w:ascii="Times New Roman" w:hAnsi="Times New Roman" w:cs="Times New Roman"/>
          <w:sz w:val="20"/>
          <w:szCs w:val="20"/>
        </w:rPr>
        <w:t>-</w:t>
      </w:r>
      <w:r w:rsidRPr="00834BAC">
        <w:rPr>
          <w:rFonts w:ascii="Times New Roman" w:hAnsi="Times New Roman" w:cs="Times New Roman"/>
          <w:sz w:val="20"/>
          <w:szCs w:val="20"/>
        </w:rPr>
        <w:t xml:space="preserve">water-resistant fabrics, and Teflon that contaminate groundwater, bioaccumulate, and cause adverse health effects.  Pl.’s </w:t>
      </w:r>
      <w:proofErr w:type="spellStart"/>
      <w:r w:rsidRPr="00834BAC">
        <w:rPr>
          <w:rFonts w:ascii="Times New Roman" w:hAnsi="Times New Roman" w:cs="Times New Roman"/>
          <w:sz w:val="20"/>
          <w:szCs w:val="20"/>
        </w:rPr>
        <w:t>Compl</w:t>
      </w:r>
      <w:proofErr w:type="spellEnd"/>
      <w:r w:rsidRPr="00834BAC">
        <w:rPr>
          <w:rFonts w:ascii="Times New Roman" w:hAnsi="Times New Roman" w:cs="Times New Roman"/>
          <w:sz w:val="20"/>
          <w:szCs w:val="20"/>
        </w:rPr>
        <w:t xml:space="preserve">., State v. 3M Co. par. 10, 185 (Vt. Super. Ct. June 26, 2019). The case is now part of multi-district litigation in the District of South Carolina. </w:t>
      </w:r>
    </w:p>
  </w:footnote>
  <w:footnote w:id="13">
    <w:p w:rsidR="00401159" w:rsidRPr="00834BAC" w:rsidRDefault="00401159">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State v. Exxon Mobil Corp., 126 A.3d 266 (N.H. 2015)</w:t>
      </w:r>
      <w:r w:rsidR="000E4E4D">
        <w:rPr>
          <w:rFonts w:ascii="Times New Roman" w:hAnsi="Times New Roman" w:cs="Times New Roman"/>
        </w:rPr>
        <w:t xml:space="preserve"> (affirming jury verdict)</w:t>
      </w:r>
      <w:r w:rsidRPr="00834BAC">
        <w:rPr>
          <w:rFonts w:ascii="Times New Roman" w:hAnsi="Times New Roman" w:cs="Times New Roman"/>
        </w:rPr>
        <w:t xml:space="preserve">, </w:t>
      </w:r>
      <w:r w:rsidRPr="00834BAC">
        <w:rPr>
          <w:rFonts w:ascii="Times New Roman" w:hAnsi="Times New Roman" w:cs="Times New Roman"/>
          <w:i/>
          <w:iCs/>
        </w:rPr>
        <w:t>cert. denied</w:t>
      </w:r>
      <w:r w:rsidRPr="00834BAC">
        <w:rPr>
          <w:rFonts w:ascii="Times New Roman" w:hAnsi="Times New Roman" w:cs="Times New Roman"/>
        </w:rPr>
        <w:t>, 136 S. Ct. 2009 (2016).</w:t>
      </w:r>
    </w:p>
  </w:footnote>
  <w:footnote w:id="14">
    <w:p w:rsidR="00401159" w:rsidRPr="00834BAC" w:rsidRDefault="00401159">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w:t>
      </w:r>
      <w:r w:rsidRPr="008E05A1">
        <w:rPr>
          <w:rFonts w:ascii="Times New Roman" w:hAnsi="Times New Roman" w:cs="Times New Roman"/>
          <w:i/>
          <w:iCs/>
        </w:rPr>
        <w:t xml:space="preserve">In re </w:t>
      </w:r>
      <w:r w:rsidRPr="00834BAC">
        <w:rPr>
          <w:rFonts w:ascii="Times New Roman" w:hAnsi="Times New Roman" w:cs="Times New Roman"/>
        </w:rPr>
        <w:t xml:space="preserve">Methyl Tertiary Butyl Ether (“MTBE”) Prods. </w:t>
      </w:r>
      <w:proofErr w:type="spellStart"/>
      <w:r w:rsidRPr="00834BAC">
        <w:rPr>
          <w:rFonts w:ascii="Times New Roman" w:hAnsi="Times New Roman" w:cs="Times New Roman"/>
        </w:rPr>
        <w:t>Liab</w:t>
      </w:r>
      <w:proofErr w:type="spellEnd"/>
      <w:r w:rsidRPr="00834BAC">
        <w:rPr>
          <w:rFonts w:ascii="Times New Roman" w:hAnsi="Times New Roman" w:cs="Times New Roman"/>
        </w:rPr>
        <w:t xml:space="preserve">. Litig., 725 F.3d 65 (2nd Cir. 2013).  </w:t>
      </w:r>
      <w:r w:rsidRPr="008E05A1">
        <w:rPr>
          <w:rFonts w:ascii="Times New Roman" w:hAnsi="Times New Roman" w:cs="Times New Roman"/>
          <w:i/>
          <w:iCs/>
        </w:rPr>
        <w:t>See also</w:t>
      </w:r>
      <w:r w:rsidRPr="00834BAC">
        <w:rPr>
          <w:rFonts w:ascii="Times New Roman" w:hAnsi="Times New Roman" w:cs="Times New Roman"/>
        </w:rPr>
        <w:t xml:space="preserve"> S. Tahoe Pub. Util. Dist. v. Atl. Richfield Co., 2002 Cal. Super. LEXIS 446 (2002) (San Francisco County jury found</w:t>
      </w:r>
      <w:r w:rsidR="00137022">
        <w:rPr>
          <w:rFonts w:ascii="Times New Roman" w:hAnsi="Times New Roman" w:cs="Times New Roman"/>
        </w:rPr>
        <w:t xml:space="preserve"> manufacturer liab</w:t>
      </w:r>
      <w:r w:rsidR="000E4E4D">
        <w:rPr>
          <w:rFonts w:ascii="Times New Roman" w:hAnsi="Times New Roman" w:cs="Times New Roman"/>
        </w:rPr>
        <w:t>le</w:t>
      </w:r>
      <w:r w:rsidR="00137022">
        <w:rPr>
          <w:rFonts w:ascii="Times New Roman" w:hAnsi="Times New Roman" w:cs="Times New Roman"/>
        </w:rPr>
        <w:t xml:space="preserve"> </w:t>
      </w:r>
      <w:r w:rsidR="000E4E4D">
        <w:rPr>
          <w:rFonts w:ascii="Times New Roman" w:hAnsi="Times New Roman" w:cs="Times New Roman"/>
        </w:rPr>
        <w:t>under</w:t>
      </w:r>
      <w:r w:rsidR="00137022">
        <w:rPr>
          <w:rFonts w:ascii="Times New Roman" w:hAnsi="Times New Roman" w:cs="Times New Roman"/>
        </w:rPr>
        <w:t xml:space="preserve"> defective</w:t>
      </w:r>
      <w:r w:rsidRPr="00834BAC">
        <w:rPr>
          <w:rFonts w:ascii="Times New Roman" w:hAnsi="Times New Roman" w:cs="Times New Roman"/>
        </w:rPr>
        <w:t xml:space="preserve"> product </w:t>
      </w:r>
      <w:r w:rsidR="000E4E4D">
        <w:rPr>
          <w:rFonts w:ascii="Times New Roman" w:hAnsi="Times New Roman" w:cs="Times New Roman"/>
        </w:rPr>
        <w:t>theory</w:t>
      </w:r>
      <w:r w:rsidRPr="00834BAC">
        <w:rPr>
          <w:rFonts w:ascii="Times New Roman" w:hAnsi="Times New Roman" w:cs="Times New Roman"/>
        </w:rPr>
        <w:t>).</w:t>
      </w:r>
    </w:p>
  </w:footnote>
  <w:footnote w:id="15">
    <w:p w:rsidR="00401159" w:rsidRPr="00834BAC" w:rsidRDefault="00401159" w:rsidP="00E518C8">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N.J. Dep’t of </w:t>
      </w:r>
      <w:proofErr w:type="spellStart"/>
      <w:r w:rsidRPr="00834BAC">
        <w:rPr>
          <w:rFonts w:ascii="Times New Roman" w:hAnsi="Times New Roman" w:cs="Times New Roman"/>
        </w:rPr>
        <w:t>Envtl</w:t>
      </w:r>
      <w:proofErr w:type="spellEnd"/>
      <w:r w:rsidRPr="00834BAC">
        <w:rPr>
          <w:rFonts w:ascii="Times New Roman" w:hAnsi="Times New Roman" w:cs="Times New Roman"/>
        </w:rPr>
        <w:t>. Protection v. Exxon Mobile Corp., 183 A.3d 289 (N.J. Super. Ct. Law Div. 2015) ($350 million settlement).</w:t>
      </w:r>
    </w:p>
  </w:footnote>
  <w:footnote w:id="16">
    <w:p w:rsidR="00401159" w:rsidRPr="00834BAC" w:rsidRDefault="00401159">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w:t>
      </w:r>
      <w:r w:rsidRPr="00834BAC">
        <w:rPr>
          <w:rFonts w:ascii="Times New Roman" w:eastAsia="Times New Roman" w:hAnsi="Times New Roman" w:cs="Times New Roman"/>
        </w:rPr>
        <w:t xml:space="preserve">Rhode Island v. Atl. Richfield Co., </w:t>
      </w:r>
      <w:r w:rsidRPr="00834BAC">
        <w:rPr>
          <w:rStyle w:val="citation"/>
          <w:rFonts w:ascii="Times New Roman" w:eastAsia="Times New Roman" w:hAnsi="Times New Roman" w:cs="Times New Roman"/>
        </w:rPr>
        <w:t xml:space="preserve">357 F. Supp. 3d 129, 142 (D. R.I. 2018); State v. Hess Corp., 20 A.3d 212, 216-18 (N.H. 2011). </w:t>
      </w:r>
    </w:p>
  </w:footnote>
  <w:footnote w:id="17">
    <w:p w:rsidR="00401159" w:rsidRPr="00834BAC" w:rsidRDefault="00401159">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w:t>
      </w:r>
      <w:r w:rsidR="00F87397">
        <w:rPr>
          <w:rFonts w:ascii="Times New Roman" w:hAnsi="Times New Roman" w:cs="Times New Roman"/>
        </w:rPr>
        <w:t>Lawsuits have been filed by the</w:t>
      </w:r>
      <w:r w:rsidRPr="00834BAC">
        <w:rPr>
          <w:rFonts w:ascii="Times New Roman" w:hAnsi="Times New Roman" w:cs="Times New Roman"/>
        </w:rPr>
        <w:t xml:space="preserve"> states of Oregon, Washington, New Mexico, and Ohio</w:t>
      </w:r>
      <w:r w:rsidR="00F87397">
        <w:rPr>
          <w:rFonts w:ascii="Times New Roman" w:hAnsi="Times New Roman" w:cs="Times New Roman"/>
        </w:rPr>
        <w:t>, and l</w:t>
      </w:r>
      <w:r w:rsidRPr="00834BAC">
        <w:rPr>
          <w:rFonts w:ascii="Times New Roman" w:hAnsi="Times New Roman" w:cs="Times New Roman"/>
        </w:rPr>
        <w:t>ocal government</w:t>
      </w:r>
      <w:r w:rsidR="00291AF6">
        <w:rPr>
          <w:rFonts w:ascii="Times New Roman" w:hAnsi="Times New Roman" w:cs="Times New Roman"/>
        </w:rPr>
        <w:t>s</w:t>
      </w:r>
      <w:r w:rsidRPr="00834BAC">
        <w:rPr>
          <w:rFonts w:ascii="Times New Roman" w:hAnsi="Times New Roman" w:cs="Times New Roman"/>
        </w:rPr>
        <w:t>, including Seattle, Spokane, Portland (City and Port), Berkeley, Oakland, San Jose, Long Beach, San Diego (City and Port), and Westport</w:t>
      </w:r>
      <w:r w:rsidR="00F87397">
        <w:rPr>
          <w:rFonts w:ascii="Times New Roman" w:hAnsi="Times New Roman" w:cs="Times New Roman"/>
        </w:rPr>
        <w:t>.</w:t>
      </w:r>
      <w:r w:rsidRPr="00834BAC">
        <w:rPr>
          <w:rFonts w:ascii="Times New Roman" w:hAnsi="Times New Roman" w:cs="Times New Roman"/>
        </w:rPr>
        <w:t xml:space="preserve">  </w:t>
      </w:r>
    </w:p>
  </w:footnote>
  <w:footnote w:id="18">
    <w:p w:rsidR="00401159" w:rsidRPr="00834BAC" w:rsidRDefault="00401159">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Pl.’s </w:t>
      </w:r>
      <w:proofErr w:type="spellStart"/>
      <w:r w:rsidRPr="00834BAC">
        <w:rPr>
          <w:rFonts w:ascii="Times New Roman" w:hAnsi="Times New Roman" w:cs="Times New Roman"/>
        </w:rPr>
        <w:t>Compl</w:t>
      </w:r>
      <w:proofErr w:type="spellEnd"/>
      <w:r w:rsidRPr="00834BAC">
        <w:rPr>
          <w:rFonts w:ascii="Times New Roman" w:hAnsi="Times New Roman" w:cs="Times New Roman"/>
        </w:rPr>
        <w:t xml:space="preserve">., State of Oregon v. Monsanto Co., ¶¶9-11 (Jan. 4, 2018); Pl.’s </w:t>
      </w:r>
      <w:proofErr w:type="spellStart"/>
      <w:r w:rsidRPr="00834BAC">
        <w:rPr>
          <w:rFonts w:ascii="Times New Roman" w:hAnsi="Times New Roman" w:cs="Times New Roman"/>
        </w:rPr>
        <w:t>Compl</w:t>
      </w:r>
      <w:proofErr w:type="spellEnd"/>
      <w:r w:rsidRPr="00834BAC">
        <w:rPr>
          <w:rFonts w:ascii="Times New Roman" w:hAnsi="Times New Roman" w:cs="Times New Roman"/>
        </w:rPr>
        <w:t xml:space="preserve">., State of Washington v. Monsanto, ¶¶ 12-20 (Dec. 6, 2016); Pl.’s </w:t>
      </w:r>
      <w:proofErr w:type="spellStart"/>
      <w:r w:rsidRPr="00834BAC">
        <w:rPr>
          <w:rFonts w:ascii="Times New Roman" w:hAnsi="Times New Roman" w:cs="Times New Roman"/>
        </w:rPr>
        <w:t>Compl</w:t>
      </w:r>
      <w:proofErr w:type="spellEnd"/>
      <w:r w:rsidRPr="00834BAC">
        <w:rPr>
          <w:rFonts w:ascii="Times New Roman" w:hAnsi="Times New Roman" w:cs="Times New Roman"/>
        </w:rPr>
        <w:t>., State of Ohio v. Monsanto Co., ¶¶ 26-32 (Mar. 5, 2018).</w:t>
      </w:r>
    </w:p>
  </w:footnote>
  <w:footnote w:id="19">
    <w:p w:rsidR="00401159" w:rsidRPr="00834BAC" w:rsidRDefault="00401159">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Because the cases are moving quickly through the court system, this chapter does not present a comprehensive summary.</w:t>
      </w:r>
    </w:p>
  </w:footnote>
  <w:footnote w:id="20">
    <w:p w:rsidR="00401159" w:rsidRPr="00834BAC" w:rsidRDefault="00401159" w:rsidP="00EE0315">
      <w:pPr>
        <w:rPr>
          <w:rFonts w:ascii="Times New Roman" w:hAnsi="Times New Roman" w:cs="Times New Roman"/>
          <w:sz w:val="20"/>
          <w:szCs w:val="20"/>
        </w:rPr>
      </w:pPr>
      <w:r w:rsidRPr="00834BAC">
        <w:rPr>
          <w:rStyle w:val="FootnoteReference"/>
          <w:rFonts w:ascii="Times New Roman" w:hAnsi="Times New Roman" w:cs="Times New Roman"/>
          <w:sz w:val="20"/>
          <w:szCs w:val="20"/>
        </w:rPr>
        <w:footnoteRef/>
      </w:r>
      <w:r w:rsidRPr="00834BAC">
        <w:rPr>
          <w:rFonts w:ascii="Times New Roman" w:hAnsi="Times New Roman" w:cs="Times New Roman"/>
          <w:sz w:val="20"/>
          <w:szCs w:val="20"/>
        </w:rPr>
        <w:t xml:space="preserve"> City of Seattle v. Monsanto Co., 237 F. Supp. 3d 1096 (W. D. Wash. 2017).</w:t>
      </w:r>
    </w:p>
  </w:footnote>
  <w:footnote w:id="21">
    <w:p w:rsidR="00401159" w:rsidRPr="00834BAC" w:rsidRDefault="00401159">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w:t>
      </w:r>
      <w:r w:rsidRPr="00834BAC">
        <w:rPr>
          <w:rFonts w:ascii="Times New Roman" w:hAnsi="Times New Roman" w:cs="Times New Roman"/>
          <w:i/>
          <w:iCs/>
        </w:rPr>
        <w:t>Id.</w:t>
      </w:r>
      <w:r w:rsidRPr="00834BAC">
        <w:rPr>
          <w:rFonts w:ascii="Times New Roman" w:hAnsi="Times New Roman" w:cs="Times New Roman"/>
        </w:rPr>
        <w:t xml:space="preserve"> at 1104-05.</w:t>
      </w:r>
    </w:p>
  </w:footnote>
  <w:footnote w:id="22">
    <w:p w:rsidR="001C4D9B" w:rsidRPr="00301AA0" w:rsidRDefault="001C4D9B">
      <w:pPr>
        <w:pStyle w:val="FootnoteText"/>
        <w:rPr>
          <w:rFonts w:ascii="Times New Roman" w:hAnsi="Times New Roman" w:cs="Times New Roman"/>
        </w:rPr>
      </w:pPr>
      <w:r w:rsidRPr="00301AA0">
        <w:rPr>
          <w:rStyle w:val="FootnoteReference"/>
          <w:rFonts w:ascii="Times New Roman" w:hAnsi="Times New Roman" w:cs="Times New Roman"/>
        </w:rPr>
        <w:footnoteRef/>
      </w:r>
      <w:r w:rsidRPr="00301AA0">
        <w:rPr>
          <w:rFonts w:ascii="Times New Roman" w:hAnsi="Times New Roman" w:cs="Times New Roman"/>
        </w:rPr>
        <w:t xml:space="preserve"> </w:t>
      </w:r>
      <w:r w:rsidRPr="00301AA0">
        <w:rPr>
          <w:rFonts w:ascii="Times New Roman" w:hAnsi="Times New Roman" w:cs="Times New Roman"/>
          <w:i/>
          <w:iCs/>
        </w:rPr>
        <w:t>See infra</w:t>
      </w:r>
      <w:r w:rsidRPr="00301AA0">
        <w:rPr>
          <w:rFonts w:ascii="Times New Roman" w:hAnsi="Times New Roman" w:cs="Times New Roman"/>
        </w:rPr>
        <w:t xml:space="preserve"> note 76. </w:t>
      </w:r>
    </w:p>
  </w:footnote>
  <w:footnote w:id="23">
    <w:p w:rsidR="00401159" w:rsidRDefault="00401159">
      <w:pPr>
        <w:pStyle w:val="FootnoteText"/>
      </w:pPr>
      <w:r w:rsidRPr="00301AA0">
        <w:rPr>
          <w:rStyle w:val="FootnoteReference"/>
          <w:rFonts w:ascii="Times New Roman" w:hAnsi="Times New Roman" w:cs="Times New Roman"/>
        </w:rPr>
        <w:footnoteRef/>
      </w:r>
      <w:r w:rsidRPr="00301AA0">
        <w:rPr>
          <w:rFonts w:ascii="Times New Roman" w:hAnsi="Times New Roman" w:cs="Times New Roman"/>
        </w:rPr>
        <w:t xml:space="preserve"> </w:t>
      </w:r>
      <w:r w:rsidR="00301AA0" w:rsidRPr="00301AA0">
        <w:rPr>
          <w:rFonts w:ascii="Times New Roman" w:hAnsi="Times New Roman" w:cs="Times New Roman"/>
          <w:i/>
          <w:iCs/>
        </w:rPr>
        <w:t xml:space="preserve">See infra </w:t>
      </w:r>
      <w:r w:rsidR="00301AA0" w:rsidRPr="00301AA0">
        <w:rPr>
          <w:rFonts w:ascii="Times New Roman" w:hAnsi="Times New Roman" w:cs="Times New Roman"/>
        </w:rPr>
        <w:t>note 66</w:t>
      </w:r>
      <w:r w:rsidR="00A17A5D" w:rsidRPr="00301AA0">
        <w:rPr>
          <w:rFonts w:ascii="Times New Roman" w:hAnsi="Times New Roman" w:cs="Times New Roman"/>
        </w:rPr>
        <w:t>.</w:t>
      </w:r>
    </w:p>
  </w:footnote>
  <w:footnote w:id="24">
    <w:p w:rsidR="00401159" w:rsidRPr="00834BAC" w:rsidRDefault="00401159">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City of Spokane v. Monsanto Co., 2016 WL </w:t>
      </w:r>
      <w:r w:rsidRPr="00834BAC">
        <w:rPr>
          <w:rFonts w:ascii="Times New Roman" w:eastAsia="Times New Roman" w:hAnsi="Times New Roman" w:cs="Times New Roman"/>
        </w:rPr>
        <w:t>6275164</w:t>
      </w:r>
      <w:r w:rsidRPr="00834BAC">
        <w:rPr>
          <w:rFonts w:ascii="Times New Roman" w:hAnsi="Times New Roman" w:cs="Times New Roman"/>
        </w:rPr>
        <w:t xml:space="preserve"> (E. D. Wash. 2016) (denying Monsanto’s motions to dismiss Spokane’s public nuisance, negligence, Washington Product Liability Act, and equitable indemnity claims); City of Portland v. Monsanto Co., </w:t>
      </w:r>
      <w:r w:rsidRPr="00834BAC">
        <w:rPr>
          <w:rStyle w:val="ssnonpaginatedrptr"/>
          <w:rFonts w:ascii="Times New Roman" w:hAnsi="Times New Roman" w:cs="Times New Roman"/>
        </w:rPr>
        <w:t>2017 WL 4236583</w:t>
      </w:r>
      <w:r w:rsidRPr="00834BAC">
        <w:rPr>
          <w:rFonts w:ascii="Times New Roman" w:hAnsi="Times New Roman" w:cs="Times New Roman"/>
        </w:rPr>
        <w:t xml:space="preserve"> (D. Or. 2017) (denying Monsanto’s motion to dismiss Portland’s public nuisance claim and granting leave to amend trespass, negligence, and product liability claims); City of San Diego v. Monsanto Co., </w:t>
      </w:r>
      <w:r w:rsidRPr="00834BAC">
        <w:rPr>
          <w:rStyle w:val="ssnonpaginatedrptr"/>
          <w:rFonts w:ascii="Times New Roman" w:hAnsi="Times New Roman" w:cs="Times New Roman"/>
        </w:rPr>
        <w:t>2017 WL 5632052</w:t>
      </w:r>
      <w:r w:rsidRPr="00834BAC">
        <w:rPr>
          <w:rFonts w:ascii="Times New Roman" w:hAnsi="Times New Roman" w:cs="Times New Roman"/>
        </w:rPr>
        <w:t xml:space="preserve"> (S.D. Cal. 2017) (denying Monsanto’s motion to dismiss San Diego’s public nuisance and purpresture claims).</w:t>
      </w:r>
    </w:p>
  </w:footnote>
  <w:footnote w:id="25">
    <w:p w:rsidR="00401159" w:rsidRPr="00834BAC" w:rsidRDefault="00401159">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562 U.S. 1091 (2010) [hereinafter </w:t>
      </w:r>
      <w:r w:rsidRPr="00834BAC">
        <w:rPr>
          <w:rFonts w:ascii="Times New Roman" w:hAnsi="Times New Roman" w:cs="Times New Roman"/>
          <w:i/>
          <w:iCs/>
        </w:rPr>
        <w:t>AEP</w:t>
      </w:r>
      <w:r w:rsidRPr="00834BAC">
        <w:rPr>
          <w:rFonts w:ascii="Times New Roman" w:hAnsi="Times New Roman" w:cs="Times New Roman"/>
        </w:rPr>
        <w:t>].</w:t>
      </w:r>
    </w:p>
  </w:footnote>
  <w:footnote w:id="26">
    <w:p w:rsidR="00401159" w:rsidRPr="00834BAC" w:rsidRDefault="00401159">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See, e.g., Pl.’s </w:t>
      </w:r>
      <w:proofErr w:type="spellStart"/>
      <w:r w:rsidRPr="00834BAC">
        <w:rPr>
          <w:rFonts w:ascii="Times New Roman" w:hAnsi="Times New Roman" w:cs="Times New Roman"/>
        </w:rPr>
        <w:t>Compl</w:t>
      </w:r>
      <w:proofErr w:type="spellEnd"/>
      <w:r w:rsidRPr="00834BAC">
        <w:rPr>
          <w:rFonts w:ascii="Times New Roman" w:hAnsi="Times New Roman" w:cs="Times New Roman"/>
        </w:rPr>
        <w:t xml:space="preserve">., County of San Mateo v. Chevron </w:t>
      </w:r>
      <w:r w:rsidRPr="005100E6">
        <w:rPr>
          <w:rFonts w:ascii="Times New Roman" w:hAnsi="Times New Roman" w:cs="Times New Roman"/>
          <w:i/>
          <w:iCs/>
        </w:rPr>
        <w:t>et al</w:t>
      </w:r>
      <w:r w:rsidRPr="00834BAC">
        <w:rPr>
          <w:rFonts w:ascii="Times New Roman" w:hAnsi="Times New Roman" w:cs="Times New Roman"/>
        </w:rPr>
        <w:t>., ¶ 186 (July 17, 2017).</w:t>
      </w:r>
    </w:p>
  </w:footnote>
  <w:footnote w:id="27">
    <w:p w:rsidR="00401159" w:rsidRPr="00834BAC" w:rsidRDefault="00401159">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See City of New York v. BP, 325 F. Supp. 3d 466, 471-75 (S.D.N.Y. 2018); </w:t>
      </w:r>
      <w:r w:rsidRPr="00834BAC">
        <w:rPr>
          <w:rFonts w:ascii="Times New Roman" w:hAnsi="Times New Roman" w:cs="Times New Roman"/>
          <w:bCs/>
        </w:rPr>
        <w:t>City of Oakland v. BP, 325 F. Supp. 3d 1017, 1024-28 (N.D. Cal. 2018).</w:t>
      </w:r>
    </w:p>
  </w:footnote>
  <w:footnote w:id="28">
    <w:p w:rsidR="00401159" w:rsidRPr="00834BAC" w:rsidRDefault="00401159">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w:t>
      </w:r>
      <w:proofErr w:type="spellStart"/>
      <w:r w:rsidRPr="00834BAC">
        <w:rPr>
          <w:rFonts w:ascii="Times New Roman" w:hAnsi="Times New Roman" w:cs="Times New Roman"/>
        </w:rPr>
        <w:t>Kuh</w:t>
      </w:r>
      <w:proofErr w:type="spellEnd"/>
      <w:r w:rsidRPr="00834BAC">
        <w:rPr>
          <w:rFonts w:ascii="Times New Roman" w:hAnsi="Times New Roman" w:cs="Times New Roman"/>
        </w:rPr>
        <w:t xml:space="preserve">, </w:t>
      </w:r>
      <w:r w:rsidRPr="00834BAC">
        <w:rPr>
          <w:rFonts w:ascii="Times New Roman" w:hAnsi="Times New Roman" w:cs="Times New Roman"/>
          <w:i/>
          <w:iCs/>
        </w:rPr>
        <w:t>supra</w:t>
      </w:r>
      <w:r w:rsidRPr="00834BAC">
        <w:rPr>
          <w:rFonts w:ascii="Times New Roman" w:hAnsi="Times New Roman" w:cs="Times New Roman"/>
        </w:rPr>
        <w:t xml:space="preserve"> note 1. </w:t>
      </w:r>
    </w:p>
  </w:footnote>
  <w:footnote w:id="29">
    <w:p w:rsidR="00401159" w:rsidRPr="00834BAC" w:rsidRDefault="00401159" w:rsidP="00B3013B">
      <w:pPr>
        <w:pStyle w:val="FootnoteText"/>
        <w:rPr>
          <w:rFonts w:ascii="Times New Roman" w:hAnsi="Times New Roman" w:cs="Times New Roman"/>
        </w:rPr>
      </w:pPr>
      <w:r w:rsidRPr="00834BAC">
        <w:rPr>
          <w:rStyle w:val="FootnoteReference"/>
          <w:rFonts w:ascii="Times New Roman" w:hAnsi="Times New Roman" w:cs="Times New Roman"/>
        </w:rPr>
        <w:footnoteRef/>
      </w:r>
      <w:r w:rsidR="008D3CF6">
        <w:rPr>
          <w:rFonts w:ascii="Times New Roman" w:hAnsi="Times New Roman" w:cs="Times New Roman"/>
        </w:rPr>
        <w:t xml:space="preserve"> </w:t>
      </w:r>
      <w:r w:rsidRPr="00834BAC">
        <w:rPr>
          <w:rFonts w:ascii="Times New Roman" w:hAnsi="Times New Roman" w:cs="Times New Roman"/>
          <w:w w:val="110"/>
        </w:rPr>
        <w:t>Geer</w:t>
      </w:r>
      <w:r w:rsidRPr="00834BAC">
        <w:rPr>
          <w:rFonts w:ascii="Times New Roman" w:hAnsi="Times New Roman" w:cs="Times New Roman"/>
          <w:spacing w:val="-11"/>
          <w:w w:val="110"/>
        </w:rPr>
        <w:t xml:space="preserve"> </w:t>
      </w:r>
      <w:r w:rsidRPr="00834BAC">
        <w:rPr>
          <w:rFonts w:ascii="Times New Roman" w:hAnsi="Times New Roman" w:cs="Times New Roman"/>
          <w:w w:val="110"/>
        </w:rPr>
        <w:t>v.</w:t>
      </w:r>
      <w:r w:rsidRPr="00834BAC">
        <w:rPr>
          <w:rFonts w:ascii="Times New Roman" w:hAnsi="Times New Roman" w:cs="Times New Roman"/>
          <w:spacing w:val="-11"/>
          <w:w w:val="110"/>
        </w:rPr>
        <w:t xml:space="preserve"> </w:t>
      </w:r>
      <w:r w:rsidRPr="00834BAC">
        <w:rPr>
          <w:rFonts w:ascii="Times New Roman" w:hAnsi="Times New Roman" w:cs="Times New Roman"/>
          <w:w w:val="110"/>
        </w:rPr>
        <w:t>Connecticut,</w:t>
      </w:r>
      <w:r w:rsidRPr="00834BAC">
        <w:rPr>
          <w:rFonts w:ascii="Times New Roman" w:hAnsi="Times New Roman" w:cs="Times New Roman"/>
          <w:spacing w:val="-12"/>
          <w:w w:val="110"/>
        </w:rPr>
        <w:t xml:space="preserve"> </w:t>
      </w:r>
      <w:r w:rsidRPr="00834BAC">
        <w:rPr>
          <w:rFonts w:ascii="Times New Roman" w:hAnsi="Times New Roman" w:cs="Times New Roman"/>
          <w:w w:val="110"/>
        </w:rPr>
        <w:t>161</w:t>
      </w:r>
      <w:r w:rsidRPr="00834BAC">
        <w:rPr>
          <w:rFonts w:ascii="Times New Roman" w:hAnsi="Times New Roman" w:cs="Times New Roman"/>
          <w:spacing w:val="-12"/>
          <w:w w:val="110"/>
        </w:rPr>
        <w:t xml:space="preserve"> </w:t>
      </w:r>
      <w:r w:rsidRPr="00834BAC">
        <w:rPr>
          <w:rFonts w:ascii="Times New Roman" w:hAnsi="Times New Roman" w:cs="Times New Roman"/>
          <w:w w:val="110"/>
        </w:rPr>
        <w:t>U.S.</w:t>
      </w:r>
      <w:r w:rsidRPr="00834BAC">
        <w:rPr>
          <w:rFonts w:ascii="Times New Roman" w:hAnsi="Times New Roman" w:cs="Times New Roman"/>
          <w:spacing w:val="-12"/>
          <w:w w:val="110"/>
        </w:rPr>
        <w:t xml:space="preserve"> </w:t>
      </w:r>
      <w:r w:rsidRPr="00834BAC">
        <w:rPr>
          <w:rFonts w:ascii="Times New Roman" w:hAnsi="Times New Roman" w:cs="Times New Roman"/>
          <w:w w:val="110"/>
        </w:rPr>
        <w:t>519,</w:t>
      </w:r>
      <w:r w:rsidRPr="00834BAC">
        <w:rPr>
          <w:rFonts w:ascii="Times New Roman" w:hAnsi="Times New Roman" w:cs="Times New Roman"/>
          <w:spacing w:val="-11"/>
          <w:w w:val="110"/>
        </w:rPr>
        <w:t xml:space="preserve"> </w:t>
      </w:r>
      <w:r w:rsidRPr="00834BAC">
        <w:rPr>
          <w:rFonts w:ascii="Times New Roman" w:hAnsi="Times New Roman" w:cs="Times New Roman"/>
          <w:w w:val="110"/>
        </w:rPr>
        <w:t>525</w:t>
      </w:r>
      <w:r w:rsidRPr="00834BAC">
        <w:rPr>
          <w:rFonts w:ascii="Times New Roman" w:hAnsi="Times New Roman" w:cs="Times New Roman"/>
          <w:spacing w:val="-11"/>
          <w:w w:val="110"/>
        </w:rPr>
        <w:t xml:space="preserve"> </w:t>
      </w:r>
      <w:r w:rsidRPr="00834BAC">
        <w:rPr>
          <w:rFonts w:ascii="Times New Roman" w:hAnsi="Times New Roman" w:cs="Times New Roman"/>
          <w:w w:val="110"/>
        </w:rPr>
        <w:t>(1896)</w:t>
      </w:r>
      <w:r w:rsidRPr="00834BAC">
        <w:rPr>
          <w:rFonts w:ascii="Times New Roman" w:hAnsi="Times New Roman" w:cs="Times New Roman"/>
          <w:spacing w:val="-11"/>
          <w:w w:val="110"/>
        </w:rPr>
        <w:t xml:space="preserve"> </w:t>
      </w:r>
      <w:r w:rsidRPr="00834BAC">
        <w:rPr>
          <w:rFonts w:ascii="Times New Roman" w:hAnsi="Times New Roman" w:cs="Times New Roman"/>
          <w:w w:val="110"/>
        </w:rPr>
        <w:t>(citing</w:t>
      </w:r>
      <w:r w:rsidRPr="00834BAC">
        <w:rPr>
          <w:rFonts w:ascii="Times New Roman" w:hAnsi="Times New Roman" w:cs="Times New Roman"/>
          <w:spacing w:val="-12"/>
          <w:w w:val="110"/>
        </w:rPr>
        <w:t xml:space="preserve"> </w:t>
      </w:r>
      <w:r w:rsidRPr="00834BAC">
        <w:rPr>
          <w:rFonts w:ascii="Times New Roman" w:hAnsi="Times New Roman" w:cs="Times New Roman"/>
          <w:w w:val="110"/>
        </w:rPr>
        <w:t>Roman</w:t>
      </w:r>
      <w:r w:rsidRPr="00834BAC">
        <w:rPr>
          <w:rFonts w:ascii="Times New Roman" w:hAnsi="Times New Roman" w:cs="Times New Roman"/>
          <w:spacing w:val="-12"/>
          <w:w w:val="110"/>
        </w:rPr>
        <w:t xml:space="preserve"> </w:t>
      </w:r>
      <w:r w:rsidRPr="00834BAC">
        <w:rPr>
          <w:rFonts w:ascii="Times New Roman" w:hAnsi="Times New Roman" w:cs="Times New Roman"/>
          <w:w w:val="110"/>
        </w:rPr>
        <w:t>law’s public resources as including</w:t>
      </w:r>
      <w:r w:rsidRPr="00834BAC">
        <w:rPr>
          <w:rFonts w:ascii="Times New Roman" w:hAnsi="Times New Roman" w:cs="Times New Roman"/>
          <w:spacing w:val="-4"/>
          <w:w w:val="110"/>
        </w:rPr>
        <w:t xml:space="preserve"> “</w:t>
      </w:r>
      <w:r w:rsidRPr="00834BAC">
        <w:rPr>
          <w:rFonts w:ascii="Times New Roman" w:hAnsi="Times New Roman" w:cs="Times New Roman"/>
          <w:w w:val="110"/>
        </w:rPr>
        <w:t>the</w:t>
      </w:r>
      <w:r w:rsidRPr="00834BAC">
        <w:rPr>
          <w:rFonts w:ascii="Times New Roman" w:hAnsi="Times New Roman" w:cs="Times New Roman"/>
          <w:spacing w:val="-5"/>
          <w:w w:val="110"/>
        </w:rPr>
        <w:t xml:space="preserve"> </w:t>
      </w:r>
      <w:r w:rsidRPr="00834BAC">
        <w:rPr>
          <w:rFonts w:ascii="Times New Roman" w:hAnsi="Times New Roman" w:cs="Times New Roman"/>
          <w:w w:val="110"/>
        </w:rPr>
        <w:t>air,</w:t>
      </w:r>
      <w:r w:rsidRPr="00834BAC">
        <w:rPr>
          <w:rFonts w:ascii="Times New Roman" w:hAnsi="Times New Roman" w:cs="Times New Roman"/>
          <w:spacing w:val="-4"/>
          <w:w w:val="110"/>
        </w:rPr>
        <w:t xml:space="preserve"> </w:t>
      </w:r>
      <w:r w:rsidRPr="00834BAC">
        <w:rPr>
          <w:rFonts w:ascii="Times New Roman" w:hAnsi="Times New Roman" w:cs="Times New Roman"/>
          <w:w w:val="110"/>
        </w:rPr>
        <w:t>the</w:t>
      </w:r>
      <w:r w:rsidRPr="00834BAC">
        <w:rPr>
          <w:rFonts w:ascii="Times New Roman" w:hAnsi="Times New Roman" w:cs="Times New Roman"/>
          <w:spacing w:val="-5"/>
          <w:w w:val="110"/>
        </w:rPr>
        <w:t xml:space="preserve"> </w:t>
      </w:r>
      <w:r w:rsidRPr="00834BAC">
        <w:rPr>
          <w:rFonts w:ascii="Times New Roman" w:hAnsi="Times New Roman" w:cs="Times New Roman"/>
          <w:w w:val="110"/>
        </w:rPr>
        <w:t>water</w:t>
      </w:r>
      <w:r w:rsidRPr="00834BAC">
        <w:rPr>
          <w:rFonts w:ascii="Times New Roman" w:hAnsi="Times New Roman" w:cs="Times New Roman"/>
          <w:spacing w:val="-4"/>
          <w:w w:val="110"/>
        </w:rPr>
        <w:t xml:space="preserve"> </w:t>
      </w:r>
      <w:r w:rsidRPr="00834BAC">
        <w:rPr>
          <w:rFonts w:ascii="Times New Roman" w:hAnsi="Times New Roman" w:cs="Times New Roman"/>
          <w:w w:val="110"/>
        </w:rPr>
        <w:t>which</w:t>
      </w:r>
      <w:r w:rsidRPr="00834BAC">
        <w:rPr>
          <w:rFonts w:ascii="Times New Roman" w:hAnsi="Times New Roman" w:cs="Times New Roman"/>
          <w:spacing w:val="-4"/>
          <w:w w:val="110"/>
        </w:rPr>
        <w:t xml:space="preserve"> </w:t>
      </w:r>
      <w:r w:rsidRPr="00834BAC">
        <w:rPr>
          <w:rFonts w:ascii="Times New Roman" w:hAnsi="Times New Roman" w:cs="Times New Roman"/>
          <w:w w:val="110"/>
        </w:rPr>
        <w:t>runs</w:t>
      </w:r>
      <w:r w:rsidRPr="00834BAC">
        <w:rPr>
          <w:rFonts w:ascii="Times New Roman" w:hAnsi="Times New Roman" w:cs="Times New Roman"/>
          <w:spacing w:val="-5"/>
          <w:w w:val="110"/>
        </w:rPr>
        <w:t xml:space="preserve"> </w:t>
      </w:r>
      <w:r w:rsidRPr="00834BAC">
        <w:rPr>
          <w:rFonts w:ascii="Times New Roman" w:hAnsi="Times New Roman" w:cs="Times New Roman"/>
          <w:w w:val="110"/>
        </w:rPr>
        <w:t>in</w:t>
      </w:r>
      <w:r w:rsidRPr="00834BAC">
        <w:rPr>
          <w:rFonts w:ascii="Times New Roman" w:hAnsi="Times New Roman" w:cs="Times New Roman"/>
          <w:spacing w:val="-5"/>
          <w:w w:val="110"/>
        </w:rPr>
        <w:t xml:space="preserve"> </w:t>
      </w:r>
      <w:r w:rsidRPr="00834BAC">
        <w:rPr>
          <w:rFonts w:ascii="Times New Roman" w:hAnsi="Times New Roman" w:cs="Times New Roman"/>
          <w:w w:val="110"/>
        </w:rPr>
        <w:t>the</w:t>
      </w:r>
      <w:r w:rsidRPr="00834BAC">
        <w:rPr>
          <w:rFonts w:ascii="Times New Roman" w:hAnsi="Times New Roman" w:cs="Times New Roman"/>
          <w:spacing w:val="-4"/>
          <w:w w:val="110"/>
        </w:rPr>
        <w:t xml:space="preserve"> </w:t>
      </w:r>
      <w:r w:rsidRPr="00834BAC">
        <w:rPr>
          <w:rFonts w:ascii="Times New Roman" w:hAnsi="Times New Roman" w:cs="Times New Roman"/>
          <w:w w:val="110"/>
        </w:rPr>
        <w:t>rivers,</w:t>
      </w:r>
      <w:r w:rsidRPr="00834BAC">
        <w:rPr>
          <w:rFonts w:ascii="Times New Roman" w:hAnsi="Times New Roman" w:cs="Times New Roman"/>
          <w:spacing w:val="-5"/>
          <w:w w:val="110"/>
        </w:rPr>
        <w:t xml:space="preserve"> </w:t>
      </w:r>
      <w:r w:rsidRPr="00834BAC">
        <w:rPr>
          <w:rFonts w:ascii="Times New Roman" w:hAnsi="Times New Roman" w:cs="Times New Roman"/>
          <w:w w:val="110"/>
        </w:rPr>
        <w:t>the sea and its shores [and] wild</w:t>
      </w:r>
      <w:r w:rsidRPr="00834BAC">
        <w:rPr>
          <w:rFonts w:ascii="Times New Roman" w:hAnsi="Times New Roman" w:cs="Times New Roman"/>
          <w:spacing w:val="-31"/>
          <w:w w:val="110"/>
        </w:rPr>
        <w:t xml:space="preserve"> </w:t>
      </w:r>
      <w:r w:rsidRPr="00834BAC">
        <w:rPr>
          <w:rFonts w:ascii="Times New Roman" w:hAnsi="Times New Roman" w:cs="Times New Roman"/>
          <w:w w:val="110"/>
        </w:rPr>
        <w:t>animals.”).</w:t>
      </w:r>
    </w:p>
  </w:footnote>
  <w:footnote w:id="30">
    <w:p w:rsidR="00401159" w:rsidRPr="00834BAC" w:rsidRDefault="00401159" w:rsidP="00B3013B">
      <w:pPr>
        <w:pStyle w:val="FootnoteText"/>
        <w:rPr>
          <w:rFonts w:ascii="Times New Roman" w:hAnsi="Times New Roman" w:cs="Times New Roman"/>
          <w:i/>
          <w:iCs/>
        </w:rPr>
      </w:pPr>
      <w:r w:rsidRPr="00834BAC">
        <w:rPr>
          <w:rStyle w:val="FootnoteReference"/>
          <w:rFonts w:ascii="Times New Roman" w:hAnsi="Times New Roman" w:cs="Times New Roman"/>
        </w:rPr>
        <w:footnoteRef/>
      </w:r>
      <w:r w:rsidRPr="00834BAC">
        <w:rPr>
          <w:rFonts w:ascii="Times New Roman" w:hAnsi="Times New Roman" w:cs="Times New Roman"/>
        </w:rPr>
        <w:t xml:space="preserve"> </w:t>
      </w:r>
      <w:r w:rsidRPr="00834BAC">
        <w:rPr>
          <w:rFonts w:ascii="Times New Roman" w:hAnsi="Times New Roman" w:cs="Times New Roman"/>
          <w:i/>
          <w:iCs/>
        </w:rPr>
        <w:t>Id.</w:t>
      </w:r>
    </w:p>
  </w:footnote>
  <w:footnote w:id="31">
    <w:p w:rsidR="00401159" w:rsidRPr="00834BAC" w:rsidRDefault="00401159" w:rsidP="00B3013B">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w:t>
      </w:r>
      <w:r w:rsidRPr="00834BAC">
        <w:rPr>
          <w:rFonts w:ascii="Times New Roman" w:hAnsi="Times New Roman" w:cs="Times New Roman"/>
          <w:i/>
          <w:iCs/>
        </w:rPr>
        <w:t>Id.</w:t>
      </w:r>
      <w:r w:rsidRPr="00834BAC">
        <w:rPr>
          <w:rFonts w:ascii="Times New Roman" w:hAnsi="Times New Roman" w:cs="Times New Roman"/>
        </w:rPr>
        <w:t xml:space="preserve"> at 523.</w:t>
      </w:r>
    </w:p>
  </w:footnote>
  <w:footnote w:id="32">
    <w:p w:rsidR="00401159" w:rsidRPr="00834BAC" w:rsidRDefault="00401159" w:rsidP="00101B5E">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206 U.S. 230, 237 (1907).</w:t>
      </w:r>
    </w:p>
  </w:footnote>
  <w:footnote w:id="33">
    <w:p w:rsidR="00401159" w:rsidRPr="00834BAC" w:rsidRDefault="00401159" w:rsidP="00B3013B">
      <w:pPr>
        <w:pStyle w:val="NormalWeb"/>
        <w:spacing w:before="0" w:beforeAutospacing="0" w:after="0" w:afterAutospacing="0"/>
        <w:rPr>
          <w:sz w:val="20"/>
          <w:szCs w:val="20"/>
        </w:rPr>
      </w:pPr>
      <w:r w:rsidRPr="00834BAC">
        <w:rPr>
          <w:rStyle w:val="FootnoteReference"/>
          <w:sz w:val="20"/>
          <w:szCs w:val="20"/>
        </w:rPr>
        <w:footnoteRef/>
      </w:r>
      <w:r w:rsidRPr="00834BAC">
        <w:rPr>
          <w:sz w:val="20"/>
          <w:szCs w:val="20"/>
        </w:rPr>
        <w:t xml:space="preserve"> </w:t>
      </w:r>
      <w:r w:rsidRPr="00834BAC">
        <w:rPr>
          <w:i/>
          <w:iCs/>
          <w:sz w:val="20"/>
          <w:szCs w:val="20"/>
        </w:rPr>
        <w:t>See</w:t>
      </w:r>
      <w:r w:rsidRPr="00834BAC">
        <w:rPr>
          <w:sz w:val="20"/>
          <w:szCs w:val="20"/>
        </w:rPr>
        <w:t xml:space="preserve"> Alan </w:t>
      </w:r>
      <w:proofErr w:type="spellStart"/>
      <w:r w:rsidRPr="00834BAC">
        <w:rPr>
          <w:sz w:val="20"/>
          <w:szCs w:val="20"/>
        </w:rPr>
        <w:t>Kanner</w:t>
      </w:r>
      <w:proofErr w:type="spellEnd"/>
      <w:r w:rsidRPr="00834BAC">
        <w:rPr>
          <w:sz w:val="20"/>
          <w:szCs w:val="20"/>
        </w:rPr>
        <w:t xml:space="preserve">, </w:t>
      </w:r>
      <w:r w:rsidRPr="00834BAC">
        <w:rPr>
          <w:i/>
          <w:iCs/>
          <w:sz w:val="20"/>
          <w:szCs w:val="20"/>
        </w:rPr>
        <w:t xml:space="preserve">The Public Trust Doctrine, </w:t>
      </w:r>
      <w:proofErr w:type="spellStart"/>
      <w:r w:rsidRPr="00834BAC">
        <w:rPr>
          <w:sz w:val="20"/>
          <w:szCs w:val="20"/>
        </w:rPr>
        <w:t>Parens</w:t>
      </w:r>
      <w:proofErr w:type="spellEnd"/>
      <w:r w:rsidRPr="00834BAC">
        <w:rPr>
          <w:sz w:val="20"/>
          <w:szCs w:val="20"/>
        </w:rPr>
        <w:t xml:space="preserve"> Patriae</w:t>
      </w:r>
      <w:r w:rsidRPr="00834BAC">
        <w:rPr>
          <w:i/>
          <w:iCs/>
          <w:sz w:val="20"/>
          <w:szCs w:val="20"/>
        </w:rPr>
        <w:t>, and the Attorney General as the Guardian of the State’s Natural Resources</w:t>
      </w:r>
      <w:r w:rsidRPr="00834BAC">
        <w:rPr>
          <w:sz w:val="20"/>
          <w:szCs w:val="20"/>
        </w:rPr>
        <w:t xml:space="preserve">, 16 </w:t>
      </w:r>
      <w:r w:rsidRPr="00834BAC">
        <w:rPr>
          <w:smallCaps/>
          <w:sz w:val="20"/>
          <w:szCs w:val="20"/>
        </w:rPr>
        <w:t xml:space="preserve">Duke </w:t>
      </w:r>
      <w:proofErr w:type="spellStart"/>
      <w:r w:rsidRPr="00834BAC">
        <w:rPr>
          <w:smallCaps/>
          <w:sz w:val="20"/>
          <w:szCs w:val="20"/>
        </w:rPr>
        <w:t>Envtl</w:t>
      </w:r>
      <w:proofErr w:type="spellEnd"/>
      <w:r w:rsidRPr="00834BAC">
        <w:rPr>
          <w:smallCaps/>
          <w:sz w:val="20"/>
          <w:szCs w:val="20"/>
        </w:rPr>
        <w:t xml:space="preserve">. L. &amp; </w:t>
      </w:r>
      <w:proofErr w:type="spellStart"/>
      <w:r w:rsidRPr="00834BAC">
        <w:rPr>
          <w:smallCaps/>
          <w:sz w:val="20"/>
          <w:szCs w:val="20"/>
        </w:rPr>
        <w:t>Pol’y</w:t>
      </w:r>
      <w:proofErr w:type="spellEnd"/>
      <w:r w:rsidRPr="00834BAC">
        <w:rPr>
          <w:smallCaps/>
          <w:sz w:val="20"/>
          <w:szCs w:val="20"/>
        </w:rPr>
        <w:t xml:space="preserve"> Forum </w:t>
      </w:r>
      <w:r w:rsidRPr="00834BAC">
        <w:rPr>
          <w:sz w:val="20"/>
          <w:szCs w:val="20"/>
        </w:rPr>
        <w:t>57, 82 (2005).</w:t>
      </w:r>
    </w:p>
  </w:footnote>
  <w:footnote w:id="34">
    <w:p w:rsidR="00401159" w:rsidRPr="00834BAC" w:rsidRDefault="00401159" w:rsidP="00B3013B">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w:t>
      </w:r>
      <w:r w:rsidRPr="00834BAC">
        <w:rPr>
          <w:rFonts w:ascii="Times New Roman" w:hAnsi="Times New Roman" w:cs="Times New Roman"/>
          <w:w w:val="105"/>
        </w:rPr>
        <w:t xml:space="preserve">Matthews v. Bay Head Improvement </w:t>
      </w:r>
      <w:proofErr w:type="spellStart"/>
      <w:r w:rsidRPr="00834BAC">
        <w:rPr>
          <w:rFonts w:ascii="Times New Roman" w:hAnsi="Times New Roman" w:cs="Times New Roman"/>
          <w:w w:val="105"/>
        </w:rPr>
        <w:t>Ass’n</w:t>
      </w:r>
      <w:proofErr w:type="spellEnd"/>
      <w:r w:rsidRPr="00834BAC">
        <w:rPr>
          <w:rFonts w:ascii="Times New Roman" w:hAnsi="Times New Roman" w:cs="Times New Roman"/>
          <w:w w:val="105"/>
        </w:rPr>
        <w:t>, 471 A.2d 355, 365 (N.J.</w:t>
      </w:r>
      <w:r w:rsidRPr="00834BAC">
        <w:rPr>
          <w:rFonts w:ascii="Times New Roman" w:hAnsi="Times New Roman" w:cs="Times New Roman"/>
          <w:spacing w:val="-6"/>
          <w:w w:val="105"/>
        </w:rPr>
        <w:t xml:space="preserve"> </w:t>
      </w:r>
      <w:r w:rsidRPr="00834BAC">
        <w:rPr>
          <w:rFonts w:ascii="Times New Roman" w:hAnsi="Times New Roman" w:cs="Times New Roman"/>
          <w:w w:val="105"/>
        </w:rPr>
        <w:t xml:space="preserve">1984) </w:t>
      </w:r>
      <w:r w:rsidR="005100E6">
        <w:rPr>
          <w:rFonts w:ascii="Times New Roman" w:hAnsi="Times New Roman" w:cs="Times New Roman"/>
          <w:w w:val="105"/>
        </w:rPr>
        <w:t>(citation omitted</w:t>
      </w:r>
      <w:r w:rsidRPr="00834BAC">
        <w:rPr>
          <w:rFonts w:ascii="Times New Roman" w:hAnsi="Times New Roman" w:cs="Times New Roman"/>
          <w:w w:val="105"/>
        </w:rPr>
        <w:t>).</w:t>
      </w:r>
    </w:p>
  </w:footnote>
  <w:footnote w:id="35">
    <w:p w:rsidR="00401159" w:rsidRPr="00834BAC" w:rsidRDefault="00401159" w:rsidP="00ED3387">
      <w:pPr>
        <w:rPr>
          <w:rFonts w:ascii="Times New Roman" w:hAnsi="Times New Roman" w:cs="Times New Roman"/>
          <w:sz w:val="20"/>
          <w:szCs w:val="20"/>
        </w:rPr>
      </w:pPr>
      <w:r w:rsidRPr="00834BAC">
        <w:rPr>
          <w:rStyle w:val="FootnoteReference"/>
          <w:rFonts w:ascii="Times New Roman" w:hAnsi="Times New Roman" w:cs="Times New Roman"/>
          <w:sz w:val="20"/>
          <w:szCs w:val="20"/>
        </w:rPr>
        <w:footnoteRef/>
      </w:r>
      <w:r w:rsidRPr="00834BAC">
        <w:rPr>
          <w:rFonts w:ascii="Times New Roman" w:hAnsi="Times New Roman" w:cs="Times New Roman"/>
          <w:sz w:val="20"/>
          <w:szCs w:val="20"/>
        </w:rPr>
        <w:t xml:space="preserve">  </w:t>
      </w:r>
      <w:r w:rsidRPr="00834BAC">
        <w:rPr>
          <w:rFonts w:ascii="Times New Roman" w:hAnsi="Times New Roman" w:cs="Times New Roman"/>
          <w:i/>
          <w:iCs/>
          <w:sz w:val="20"/>
          <w:szCs w:val="20"/>
        </w:rPr>
        <w:t>See e.g.,</w:t>
      </w:r>
      <w:r w:rsidRPr="00834BAC">
        <w:rPr>
          <w:rFonts w:ascii="Times New Roman" w:hAnsi="Times New Roman" w:cs="Times New Roman"/>
          <w:sz w:val="20"/>
          <w:szCs w:val="20"/>
        </w:rPr>
        <w:t xml:space="preserve"> </w:t>
      </w:r>
      <w:proofErr w:type="spellStart"/>
      <w:r w:rsidRPr="00834BAC">
        <w:rPr>
          <w:rFonts w:ascii="Times New Roman" w:hAnsi="Times New Roman" w:cs="Times New Roman"/>
          <w:iCs/>
          <w:sz w:val="20"/>
          <w:szCs w:val="20"/>
        </w:rPr>
        <w:t>Envtl</w:t>
      </w:r>
      <w:proofErr w:type="spellEnd"/>
      <w:r w:rsidRPr="00834BAC">
        <w:rPr>
          <w:rFonts w:ascii="Times New Roman" w:hAnsi="Times New Roman" w:cs="Times New Roman"/>
          <w:iCs/>
          <w:sz w:val="20"/>
          <w:szCs w:val="20"/>
        </w:rPr>
        <w:t>. Law Found.</w:t>
      </w:r>
      <w:r w:rsidRPr="00834BAC">
        <w:rPr>
          <w:rFonts w:ascii="Times New Roman" w:hAnsi="Times New Roman" w:cs="Times New Roman"/>
          <w:iCs/>
          <w:spacing w:val="7"/>
          <w:sz w:val="20"/>
          <w:szCs w:val="20"/>
        </w:rPr>
        <w:t xml:space="preserve"> </w:t>
      </w:r>
      <w:r w:rsidRPr="00834BAC">
        <w:rPr>
          <w:rFonts w:ascii="Times New Roman" w:hAnsi="Times New Roman" w:cs="Times New Roman"/>
          <w:iCs/>
          <w:sz w:val="20"/>
          <w:szCs w:val="20"/>
        </w:rPr>
        <w:t>v.</w:t>
      </w:r>
      <w:r w:rsidRPr="00834BAC">
        <w:rPr>
          <w:rFonts w:ascii="Times New Roman" w:hAnsi="Times New Roman" w:cs="Times New Roman"/>
          <w:iCs/>
          <w:spacing w:val="11"/>
          <w:sz w:val="20"/>
          <w:szCs w:val="20"/>
        </w:rPr>
        <w:t xml:space="preserve"> </w:t>
      </w:r>
      <w:r w:rsidRPr="00834BAC">
        <w:rPr>
          <w:rFonts w:ascii="Times New Roman" w:hAnsi="Times New Roman" w:cs="Times New Roman"/>
          <w:iCs/>
          <w:sz w:val="20"/>
          <w:szCs w:val="20"/>
        </w:rPr>
        <w:t>State</w:t>
      </w:r>
      <w:r w:rsidRPr="00834BAC">
        <w:rPr>
          <w:rFonts w:ascii="Times New Roman" w:hAnsi="Times New Roman" w:cs="Times New Roman"/>
          <w:iCs/>
          <w:spacing w:val="9"/>
          <w:sz w:val="20"/>
          <w:szCs w:val="20"/>
        </w:rPr>
        <w:t xml:space="preserve"> </w:t>
      </w:r>
      <w:r w:rsidRPr="00834BAC">
        <w:rPr>
          <w:rFonts w:ascii="Times New Roman" w:hAnsi="Times New Roman" w:cs="Times New Roman"/>
          <w:iCs/>
          <w:sz w:val="20"/>
          <w:szCs w:val="20"/>
        </w:rPr>
        <w:t>Water</w:t>
      </w:r>
      <w:r w:rsidRPr="00834BAC">
        <w:rPr>
          <w:rFonts w:ascii="Times New Roman" w:hAnsi="Times New Roman" w:cs="Times New Roman"/>
          <w:iCs/>
          <w:spacing w:val="10"/>
          <w:sz w:val="20"/>
          <w:szCs w:val="20"/>
        </w:rPr>
        <w:t xml:space="preserve"> </w:t>
      </w:r>
      <w:r w:rsidRPr="00834BAC">
        <w:rPr>
          <w:rFonts w:ascii="Times New Roman" w:hAnsi="Times New Roman" w:cs="Times New Roman"/>
          <w:iCs/>
          <w:sz w:val="20"/>
          <w:szCs w:val="20"/>
        </w:rPr>
        <w:t>Res.</w:t>
      </w:r>
      <w:r w:rsidRPr="00834BAC">
        <w:rPr>
          <w:rFonts w:ascii="Times New Roman" w:hAnsi="Times New Roman" w:cs="Times New Roman"/>
          <w:iCs/>
          <w:spacing w:val="10"/>
          <w:sz w:val="20"/>
          <w:szCs w:val="20"/>
        </w:rPr>
        <w:t xml:space="preserve"> </w:t>
      </w:r>
      <w:r w:rsidRPr="00834BAC">
        <w:rPr>
          <w:rFonts w:ascii="Times New Roman" w:hAnsi="Times New Roman" w:cs="Times New Roman"/>
          <w:iCs/>
          <w:sz w:val="20"/>
          <w:szCs w:val="20"/>
        </w:rPr>
        <w:t>Control</w:t>
      </w:r>
      <w:r w:rsidRPr="00834BAC">
        <w:rPr>
          <w:rFonts w:ascii="Times New Roman" w:hAnsi="Times New Roman" w:cs="Times New Roman"/>
          <w:iCs/>
          <w:spacing w:val="8"/>
          <w:sz w:val="20"/>
          <w:szCs w:val="20"/>
        </w:rPr>
        <w:t xml:space="preserve"> </w:t>
      </w:r>
      <w:r w:rsidRPr="00834BAC">
        <w:rPr>
          <w:rFonts w:ascii="Times New Roman" w:hAnsi="Times New Roman" w:cs="Times New Roman"/>
          <w:iCs/>
          <w:sz w:val="20"/>
          <w:szCs w:val="20"/>
        </w:rPr>
        <w:t>Bd.,</w:t>
      </w:r>
      <w:r w:rsidRPr="00834BAC">
        <w:rPr>
          <w:rFonts w:ascii="Times New Roman" w:hAnsi="Times New Roman" w:cs="Times New Roman"/>
          <w:iCs/>
          <w:spacing w:val="10"/>
          <w:sz w:val="20"/>
          <w:szCs w:val="20"/>
        </w:rPr>
        <w:t xml:space="preserve"> </w:t>
      </w:r>
      <w:r w:rsidRPr="00834BAC">
        <w:rPr>
          <w:rFonts w:ascii="Times New Roman" w:hAnsi="Times New Roman" w:cs="Times New Roman"/>
          <w:sz w:val="20"/>
          <w:szCs w:val="20"/>
        </w:rPr>
        <w:t>26</w:t>
      </w:r>
      <w:r w:rsidRPr="00834BAC">
        <w:rPr>
          <w:rFonts w:ascii="Times New Roman" w:hAnsi="Times New Roman" w:cs="Times New Roman"/>
          <w:spacing w:val="8"/>
          <w:sz w:val="20"/>
          <w:szCs w:val="20"/>
        </w:rPr>
        <w:t xml:space="preserve"> </w:t>
      </w:r>
      <w:r w:rsidRPr="00834BAC">
        <w:rPr>
          <w:rFonts w:ascii="Times New Roman" w:hAnsi="Times New Roman" w:cs="Times New Roman"/>
          <w:sz w:val="20"/>
          <w:szCs w:val="20"/>
        </w:rPr>
        <w:t>Cal.</w:t>
      </w:r>
      <w:r w:rsidRPr="00834BAC">
        <w:rPr>
          <w:rFonts w:ascii="Times New Roman" w:hAnsi="Times New Roman" w:cs="Times New Roman"/>
          <w:spacing w:val="8"/>
          <w:sz w:val="20"/>
          <w:szCs w:val="20"/>
        </w:rPr>
        <w:t xml:space="preserve"> </w:t>
      </w:r>
      <w:r w:rsidRPr="00834BAC">
        <w:rPr>
          <w:rFonts w:ascii="Times New Roman" w:hAnsi="Times New Roman" w:cs="Times New Roman"/>
          <w:sz w:val="20"/>
          <w:szCs w:val="20"/>
        </w:rPr>
        <w:t>App.</w:t>
      </w:r>
      <w:r w:rsidRPr="00834BAC">
        <w:rPr>
          <w:rFonts w:ascii="Times New Roman" w:hAnsi="Times New Roman" w:cs="Times New Roman"/>
          <w:spacing w:val="8"/>
          <w:sz w:val="20"/>
          <w:szCs w:val="20"/>
        </w:rPr>
        <w:t xml:space="preserve"> </w:t>
      </w:r>
      <w:r w:rsidRPr="00834BAC">
        <w:rPr>
          <w:rFonts w:ascii="Times New Roman" w:hAnsi="Times New Roman" w:cs="Times New Roman"/>
          <w:sz w:val="20"/>
          <w:szCs w:val="20"/>
        </w:rPr>
        <w:t>5th</w:t>
      </w:r>
      <w:r w:rsidRPr="00834BAC">
        <w:rPr>
          <w:rFonts w:ascii="Times New Roman" w:hAnsi="Times New Roman" w:cs="Times New Roman"/>
          <w:spacing w:val="8"/>
          <w:sz w:val="20"/>
          <w:szCs w:val="20"/>
        </w:rPr>
        <w:t xml:space="preserve"> </w:t>
      </w:r>
      <w:r w:rsidRPr="00834BAC">
        <w:rPr>
          <w:rFonts w:ascii="Times New Roman" w:hAnsi="Times New Roman" w:cs="Times New Roman"/>
          <w:sz w:val="20"/>
          <w:szCs w:val="20"/>
        </w:rPr>
        <w:t>844,</w:t>
      </w:r>
      <w:r w:rsidRPr="00834BAC">
        <w:rPr>
          <w:rFonts w:ascii="Times New Roman" w:hAnsi="Times New Roman" w:cs="Times New Roman"/>
          <w:spacing w:val="11"/>
          <w:sz w:val="20"/>
          <w:szCs w:val="20"/>
        </w:rPr>
        <w:t xml:space="preserve"> </w:t>
      </w:r>
      <w:r w:rsidRPr="00834BAC">
        <w:rPr>
          <w:rFonts w:ascii="Times New Roman" w:hAnsi="Times New Roman" w:cs="Times New Roman"/>
          <w:sz w:val="20"/>
          <w:szCs w:val="20"/>
        </w:rPr>
        <w:t>856</w:t>
      </w:r>
      <w:r w:rsidRPr="00834BAC">
        <w:rPr>
          <w:rFonts w:ascii="Times New Roman" w:hAnsi="Times New Roman" w:cs="Times New Roman"/>
          <w:spacing w:val="8"/>
          <w:sz w:val="20"/>
          <w:szCs w:val="20"/>
        </w:rPr>
        <w:t xml:space="preserve"> </w:t>
      </w:r>
      <w:r w:rsidRPr="00834BAC">
        <w:rPr>
          <w:rFonts w:ascii="Times New Roman" w:hAnsi="Times New Roman" w:cs="Times New Roman"/>
          <w:sz w:val="20"/>
          <w:szCs w:val="20"/>
        </w:rPr>
        <w:t xml:space="preserve">(2018) (“From ancient Roman roots, the English common law has developed a doctrine enshrining humanity’s entitlement to air and water as a public trust.”); Gerald Torres, </w:t>
      </w:r>
      <w:r w:rsidRPr="00834BAC">
        <w:rPr>
          <w:rFonts w:ascii="Times New Roman" w:hAnsi="Times New Roman" w:cs="Times New Roman"/>
          <w:i/>
          <w:iCs/>
          <w:sz w:val="20"/>
          <w:szCs w:val="20"/>
        </w:rPr>
        <w:t>Who Owns the Sky?</w:t>
      </w:r>
      <w:r w:rsidRPr="00834BAC">
        <w:rPr>
          <w:rFonts w:ascii="Times New Roman" w:hAnsi="Times New Roman" w:cs="Times New Roman"/>
          <w:sz w:val="20"/>
          <w:szCs w:val="20"/>
        </w:rPr>
        <w:t xml:space="preserve">, 19 </w:t>
      </w:r>
      <w:r w:rsidRPr="00834BAC">
        <w:rPr>
          <w:rFonts w:ascii="Times New Roman" w:hAnsi="Times New Roman" w:cs="Times New Roman"/>
          <w:smallCaps/>
          <w:sz w:val="20"/>
          <w:szCs w:val="20"/>
        </w:rPr>
        <w:t xml:space="preserve">Pace </w:t>
      </w:r>
      <w:proofErr w:type="spellStart"/>
      <w:r w:rsidRPr="00834BAC">
        <w:rPr>
          <w:rFonts w:ascii="Times New Roman" w:hAnsi="Times New Roman" w:cs="Times New Roman"/>
          <w:smallCaps/>
          <w:sz w:val="20"/>
          <w:szCs w:val="20"/>
        </w:rPr>
        <w:t>Envtl</w:t>
      </w:r>
      <w:proofErr w:type="spellEnd"/>
      <w:r w:rsidRPr="00834BAC">
        <w:rPr>
          <w:rFonts w:ascii="Times New Roman" w:hAnsi="Times New Roman" w:cs="Times New Roman"/>
          <w:smallCaps/>
          <w:sz w:val="20"/>
          <w:szCs w:val="20"/>
        </w:rPr>
        <w:t>. L. Rev.</w:t>
      </w:r>
      <w:r w:rsidRPr="00834BAC">
        <w:rPr>
          <w:rFonts w:ascii="Times New Roman" w:hAnsi="Times New Roman" w:cs="Times New Roman"/>
          <w:sz w:val="20"/>
          <w:szCs w:val="20"/>
        </w:rPr>
        <w:t xml:space="preserve"> 227 (2001); Carolyn Kelly, </w:t>
      </w:r>
      <w:r w:rsidRPr="00834BAC">
        <w:rPr>
          <w:rFonts w:ascii="Times New Roman" w:hAnsi="Times New Roman" w:cs="Times New Roman"/>
          <w:i/>
          <w:sz w:val="20"/>
          <w:szCs w:val="20"/>
        </w:rPr>
        <w:t xml:space="preserve">Where the Water Meets the Sky: How an Unbroken Line of Precedent from Justinian to </w:t>
      </w:r>
      <w:r w:rsidRPr="00834BAC">
        <w:rPr>
          <w:rFonts w:ascii="Times New Roman" w:hAnsi="Times New Roman" w:cs="Times New Roman"/>
          <w:iCs/>
          <w:sz w:val="20"/>
          <w:szCs w:val="20"/>
        </w:rPr>
        <w:t>Juliana</w:t>
      </w:r>
      <w:r w:rsidRPr="00834BAC">
        <w:rPr>
          <w:rFonts w:ascii="Times New Roman" w:hAnsi="Times New Roman" w:cs="Times New Roman"/>
          <w:i/>
          <w:sz w:val="20"/>
          <w:szCs w:val="20"/>
        </w:rPr>
        <w:t xml:space="preserve"> Supports the Possibility of a Federal Atmospheric Trust Doctrine</w:t>
      </w:r>
      <w:r w:rsidRPr="00834BAC">
        <w:rPr>
          <w:rFonts w:ascii="Times New Roman" w:hAnsi="Times New Roman" w:cs="Times New Roman"/>
          <w:sz w:val="20"/>
          <w:szCs w:val="20"/>
        </w:rPr>
        <w:t xml:space="preserve">, 27 </w:t>
      </w:r>
      <w:r w:rsidRPr="00834BAC">
        <w:rPr>
          <w:rFonts w:ascii="Times New Roman" w:hAnsi="Times New Roman" w:cs="Times New Roman"/>
          <w:smallCaps/>
          <w:sz w:val="20"/>
          <w:szCs w:val="20"/>
        </w:rPr>
        <w:t xml:space="preserve">NYU </w:t>
      </w:r>
      <w:proofErr w:type="spellStart"/>
      <w:r w:rsidRPr="00834BAC">
        <w:rPr>
          <w:rFonts w:ascii="Times New Roman" w:hAnsi="Times New Roman" w:cs="Times New Roman"/>
          <w:smallCaps/>
          <w:sz w:val="20"/>
          <w:szCs w:val="20"/>
        </w:rPr>
        <w:t>Envtl</w:t>
      </w:r>
      <w:proofErr w:type="spellEnd"/>
      <w:r w:rsidRPr="00834BAC">
        <w:rPr>
          <w:rFonts w:ascii="Times New Roman" w:hAnsi="Times New Roman" w:cs="Times New Roman"/>
          <w:smallCaps/>
          <w:sz w:val="20"/>
          <w:szCs w:val="20"/>
        </w:rPr>
        <w:t xml:space="preserve"> L. J.</w:t>
      </w:r>
      <w:r w:rsidRPr="00834BAC">
        <w:rPr>
          <w:rFonts w:ascii="Times New Roman" w:hAnsi="Times New Roman" w:cs="Times New Roman"/>
          <w:sz w:val="20"/>
          <w:szCs w:val="20"/>
        </w:rPr>
        <w:t xml:space="preserve"> 183 (2019).</w:t>
      </w:r>
    </w:p>
  </w:footnote>
  <w:footnote w:id="36">
    <w:p w:rsidR="005039D1" w:rsidRPr="003F4C70" w:rsidRDefault="005039D1" w:rsidP="003F4C70">
      <w:pPr>
        <w:rPr>
          <w:rFonts w:ascii="Times New Roman" w:eastAsia="Times New Roman" w:hAnsi="Times New Roman" w:cs="Times New Roman"/>
        </w:rPr>
      </w:pPr>
      <w:r w:rsidRPr="003F4C70">
        <w:rPr>
          <w:rStyle w:val="FootnoteReference"/>
          <w:sz w:val="20"/>
          <w:szCs w:val="20"/>
        </w:rPr>
        <w:footnoteRef/>
      </w:r>
      <w:r>
        <w:t xml:space="preserve"> </w:t>
      </w:r>
      <w:r w:rsidRPr="003F4C70">
        <w:rPr>
          <w:rFonts w:ascii="Times New Roman" w:hAnsi="Times New Roman" w:cs="Times New Roman"/>
          <w:i/>
          <w:iCs/>
          <w:sz w:val="20"/>
          <w:szCs w:val="20"/>
        </w:rPr>
        <w:t>Foster</w:t>
      </w:r>
      <w:r w:rsidRPr="003F4C70">
        <w:rPr>
          <w:rFonts w:ascii="Times New Roman" w:hAnsi="Times New Roman" w:cs="Times New Roman"/>
          <w:sz w:val="20"/>
          <w:szCs w:val="20"/>
        </w:rPr>
        <w:t xml:space="preserve">, </w:t>
      </w:r>
      <w:r w:rsidR="003F4C70" w:rsidRPr="003F4C70">
        <w:rPr>
          <w:rFonts w:ascii="Times New Roman" w:eastAsia="Times New Roman" w:hAnsi="Times New Roman" w:cs="Times New Roman"/>
          <w:sz w:val="20"/>
          <w:szCs w:val="20"/>
        </w:rPr>
        <w:t>No. 14-2-25295-1 SEA, 2,4</w:t>
      </w:r>
      <w:r w:rsidR="003F4C70" w:rsidRPr="003F4C70">
        <w:rPr>
          <w:rFonts w:ascii="Times New Roman" w:hAnsi="Times New Roman" w:cs="Times New Roman"/>
          <w:sz w:val="20"/>
          <w:szCs w:val="20"/>
        </w:rPr>
        <w:t xml:space="preserve"> (Wash. Super. Ct. Nov. 15, 2015).</w:t>
      </w:r>
    </w:p>
  </w:footnote>
  <w:footnote w:id="37">
    <w:p w:rsidR="00401159" w:rsidRPr="00834BAC" w:rsidRDefault="00401159" w:rsidP="00B3013B">
      <w:pPr>
        <w:pStyle w:val="NormalWeb"/>
        <w:spacing w:before="0" w:beforeAutospacing="0" w:after="0" w:afterAutospacing="0"/>
        <w:rPr>
          <w:sz w:val="20"/>
          <w:szCs w:val="20"/>
        </w:rPr>
      </w:pPr>
      <w:r w:rsidRPr="00834BAC">
        <w:rPr>
          <w:rStyle w:val="FootnoteReference"/>
          <w:sz w:val="20"/>
          <w:szCs w:val="20"/>
        </w:rPr>
        <w:footnoteRef/>
      </w:r>
      <w:r w:rsidRPr="00834BAC">
        <w:rPr>
          <w:sz w:val="20"/>
          <w:szCs w:val="20"/>
        </w:rPr>
        <w:t xml:space="preserve"> </w:t>
      </w:r>
      <w:r w:rsidRPr="00834BAC">
        <w:rPr>
          <w:i/>
          <w:sz w:val="20"/>
          <w:szCs w:val="20"/>
        </w:rPr>
        <w:t>See Juliana</w:t>
      </w:r>
      <w:r w:rsidRPr="00834BAC">
        <w:rPr>
          <w:sz w:val="20"/>
          <w:szCs w:val="20"/>
        </w:rPr>
        <w:t xml:space="preserve">, 217 F. Supp. 3d at 1274-1276.  Some other courts have refused to recognize air as a public trust asset.  </w:t>
      </w:r>
      <w:r w:rsidRPr="00834BAC">
        <w:rPr>
          <w:i/>
          <w:iCs/>
          <w:sz w:val="20"/>
          <w:szCs w:val="20"/>
        </w:rPr>
        <w:t>See, e.g.</w:t>
      </w:r>
      <w:r w:rsidRPr="00834BAC">
        <w:rPr>
          <w:sz w:val="20"/>
          <w:szCs w:val="20"/>
        </w:rPr>
        <w:t xml:space="preserve">, </w:t>
      </w:r>
      <w:proofErr w:type="spellStart"/>
      <w:r w:rsidRPr="00834BAC">
        <w:rPr>
          <w:i/>
          <w:sz w:val="20"/>
          <w:szCs w:val="20"/>
        </w:rPr>
        <w:t>Chernaik</w:t>
      </w:r>
      <w:proofErr w:type="spellEnd"/>
      <w:r w:rsidRPr="00834BAC">
        <w:rPr>
          <w:i/>
          <w:spacing w:val="-14"/>
          <w:sz w:val="20"/>
          <w:szCs w:val="20"/>
        </w:rPr>
        <w:t xml:space="preserve"> </w:t>
      </w:r>
      <w:r w:rsidRPr="00834BAC">
        <w:rPr>
          <w:i/>
          <w:sz w:val="20"/>
          <w:szCs w:val="20"/>
        </w:rPr>
        <w:t>v.</w:t>
      </w:r>
      <w:r w:rsidRPr="00834BAC">
        <w:rPr>
          <w:i/>
          <w:spacing w:val="-13"/>
          <w:sz w:val="20"/>
          <w:szCs w:val="20"/>
        </w:rPr>
        <w:t xml:space="preserve"> </w:t>
      </w:r>
      <w:r w:rsidRPr="00834BAC">
        <w:rPr>
          <w:i/>
          <w:sz w:val="20"/>
          <w:szCs w:val="20"/>
        </w:rPr>
        <w:t>Brown,</w:t>
      </w:r>
      <w:r w:rsidRPr="00834BAC">
        <w:rPr>
          <w:i/>
          <w:spacing w:val="-12"/>
          <w:sz w:val="20"/>
          <w:szCs w:val="20"/>
        </w:rPr>
        <w:t xml:space="preserve"> </w:t>
      </w:r>
      <w:r w:rsidRPr="00834BAC">
        <w:rPr>
          <w:sz w:val="20"/>
          <w:szCs w:val="20"/>
        </w:rPr>
        <w:t>No.</w:t>
      </w:r>
      <w:r w:rsidRPr="00834BAC">
        <w:rPr>
          <w:spacing w:val="-21"/>
          <w:sz w:val="20"/>
          <w:szCs w:val="20"/>
        </w:rPr>
        <w:t xml:space="preserve"> </w:t>
      </w:r>
      <w:r w:rsidRPr="00834BAC">
        <w:rPr>
          <w:sz w:val="20"/>
          <w:szCs w:val="20"/>
        </w:rPr>
        <w:t>16-11-09273,</w:t>
      </w:r>
      <w:r w:rsidRPr="00834BAC">
        <w:rPr>
          <w:spacing w:val="-12"/>
          <w:sz w:val="20"/>
          <w:szCs w:val="20"/>
        </w:rPr>
        <w:t xml:space="preserve"> </w:t>
      </w:r>
      <w:r w:rsidRPr="00834BAC">
        <w:rPr>
          <w:sz w:val="20"/>
          <w:szCs w:val="20"/>
        </w:rPr>
        <w:t>2015</w:t>
      </w:r>
      <w:r w:rsidRPr="00834BAC">
        <w:rPr>
          <w:spacing w:val="-16"/>
          <w:sz w:val="20"/>
          <w:szCs w:val="20"/>
        </w:rPr>
        <w:t xml:space="preserve"> </w:t>
      </w:r>
      <w:r w:rsidRPr="00834BAC">
        <w:rPr>
          <w:spacing w:val="3"/>
          <w:sz w:val="20"/>
          <w:szCs w:val="20"/>
        </w:rPr>
        <w:t>WL</w:t>
      </w:r>
      <w:r w:rsidRPr="00834BAC">
        <w:rPr>
          <w:spacing w:val="-17"/>
          <w:sz w:val="20"/>
          <w:szCs w:val="20"/>
        </w:rPr>
        <w:t xml:space="preserve"> </w:t>
      </w:r>
      <w:r w:rsidRPr="00834BAC">
        <w:rPr>
          <w:sz w:val="20"/>
          <w:szCs w:val="20"/>
        </w:rPr>
        <w:t>12591229</w:t>
      </w:r>
      <w:r w:rsidRPr="00834BAC">
        <w:rPr>
          <w:spacing w:val="-16"/>
          <w:sz w:val="20"/>
          <w:szCs w:val="20"/>
        </w:rPr>
        <w:t xml:space="preserve"> </w:t>
      </w:r>
      <w:r w:rsidRPr="00834BAC">
        <w:rPr>
          <w:sz w:val="20"/>
          <w:szCs w:val="20"/>
        </w:rPr>
        <w:t>at</w:t>
      </w:r>
      <w:r w:rsidRPr="00834BAC">
        <w:rPr>
          <w:spacing w:val="-15"/>
          <w:sz w:val="20"/>
          <w:szCs w:val="20"/>
        </w:rPr>
        <w:t xml:space="preserve"> *</w:t>
      </w:r>
      <w:r w:rsidRPr="00834BAC">
        <w:rPr>
          <w:sz w:val="20"/>
          <w:szCs w:val="20"/>
        </w:rPr>
        <w:t>11, n.</w:t>
      </w:r>
      <w:r w:rsidRPr="00834BAC">
        <w:rPr>
          <w:spacing w:val="-12"/>
          <w:sz w:val="20"/>
          <w:szCs w:val="20"/>
        </w:rPr>
        <w:t xml:space="preserve"> </w:t>
      </w:r>
      <w:r w:rsidRPr="00834BAC">
        <w:rPr>
          <w:sz w:val="20"/>
          <w:szCs w:val="20"/>
        </w:rPr>
        <w:t>7</w:t>
      </w:r>
      <w:r w:rsidRPr="00834BAC">
        <w:rPr>
          <w:spacing w:val="-12"/>
          <w:sz w:val="20"/>
          <w:szCs w:val="20"/>
        </w:rPr>
        <w:t xml:space="preserve"> </w:t>
      </w:r>
      <w:r w:rsidRPr="00834BAC">
        <w:rPr>
          <w:sz w:val="20"/>
          <w:szCs w:val="20"/>
        </w:rPr>
        <w:t>(Or.</w:t>
      </w:r>
      <w:r w:rsidRPr="00834BAC">
        <w:rPr>
          <w:spacing w:val="-14"/>
          <w:sz w:val="20"/>
          <w:szCs w:val="20"/>
        </w:rPr>
        <w:t xml:space="preserve"> </w:t>
      </w:r>
      <w:r w:rsidRPr="00834BAC">
        <w:rPr>
          <w:sz w:val="20"/>
          <w:szCs w:val="20"/>
        </w:rPr>
        <w:t>Cir.</w:t>
      </w:r>
      <w:r w:rsidRPr="00834BAC">
        <w:rPr>
          <w:spacing w:val="-14"/>
          <w:sz w:val="20"/>
          <w:szCs w:val="20"/>
        </w:rPr>
        <w:t xml:space="preserve"> </w:t>
      </w:r>
      <w:r w:rsidRPr="00834BAC">
        <w:rPr>
          <w:sz w:val="20"/>
          <w:szCs w:val="20"/>
        </w:rPr>
        <w:t>Ct.</w:t>
      </w:r>
      <w:r w:rsidRPr="00834BAC">
        <w:rPr>
          <w:spacing w:val="-14"/>
          <w:sz w:val="20"/>
          <w:szCs w:val="20"/>
        </w:rPr>
        <w:t xml:space="preserve"> </w:t>
      </w:r>
      <w:r w:rsidRPr="00834BAC">
        <w:rPr>
          <w:sz w:val="20"/>
          <w:szCs w:val="20"/>
        </w:rPr>
        <w:t>May</w:t>
      </w:r>
      <w:r w:rsidRPr="00834BAC">
        <w:rPr>
          <w:spacing w:val="-17"/>
          <w:sz w:val="20"/>
          <w:szCs w:val="20"/>
        </w:rPr>
        <w:t xml:space="preserve"> </w:t>
      </w:r>
      <w:r w:rsidRPr="00834BAC">
        <w:rPr>
          <w:sz w:val="20"/>
          <w:szCs w:val="20"/>
        </w:rPr>
        <w:t>11,</w:t>
      </w:r>
      <w:r w:rsidRPr="00834BAC">
        <w:rPr>
          <w:spacing w:val="-14"/>
          <w:sz w:val="20"/>
          <w:szCs w:val="20"/>
        </w:rPr>
        <w:t xml:space="preserve"> </w:t>
      </w:r>
      <w:r w:rsidRPr="00834BAC">
        <w:rPr>
          <w:sz w:val="20"/>
          <w:szCs w:val="20"/>
        </w:rPr>
        <w:t xml:space="preserve">2015), </w:t>
      </w:r>
      <w:r w:rsidRPr="00834BAC">
        <w:rPr>
          <w:i/>
          <w:iCs/>
          <w:sz w:val="20"/>
          <w:szCs w:val="20"/>
        </w:rPr>
        <w:t>aff’d by</w:t>
      </w:r>
      <w:r w:rsidRPr="00834BAC">
        <w:rPr>
          <w:sz w:val="20"/>
          <w:szCs w:val="20"/>
        </w:rPr>
        <w:t xml:space="preserve">, 426 P.3d 26 (Or. App. 2019), </w:t>
      </w:r>
      <w:r w:rsidRPr="00834BAC">
        <w:rPr>
          <w:i/>
          <w:iCs/>
          <w:sz w:val="20"/>
          <w:szCs w:val="20"/>
        </w:rPr>
        <w:t>cert. granted</w:t>
      </w:r>
      <w:r w:rsidRPr="00834BAC">
        <w:rPr>
          <w:sz w:val="20"/>
          <w:szCs w:val="20"/>
        </w:rPr>
        <w:t>, 442 P.3d 1119 (Or. 2019).</w:t>
      </w:r>
    </w:p>
  </w:footnote>
  <w:footnote w:id="38">
    <w:p w:rsidR="00401159" w:rsidRPr="00834BAC" w:rsidRDefault="00401159" w:rsidP="00B3013B">
      <w:pPr>
        <w:rPr>
          <w:rFonts w:ascii="Times New Roman" w:hAnsi="Times New Roman" w:cs="Times New Roman"/>
          <w:sz w:val="20"/>
          <w:szCs w:val="20"/>
        </w:rPr>
      </w:pPr>
      <w:r w:rsidRPr="00834BAC">
        <w:rPr>
          <w:rStyle w:val="FootnoteReference"/>
          <w:rFonts w:ascii="Times New Roman" w:hAnsi="Times New Roman" w:cs="Times New Roman"/>
          <w:sz w:val="20"/>
          <w:szCs w:val="20"/>
        </w:rPr>
        <w:footnoteRef/>
      </w:r>
      <w:r w:rsidRPr="00834BAC">
        <w:rPr>
          <w:rFonts w:ascii="Times New Roman" w:hAnsi="Times New Roman" w:cs="Times New Roman"/>
          <w:sz w:val="20"/>
          <w:szCs w:val="20"/>
        </w:rPr>
        <w:t xml:space="preserve">  </w:t>
      </w:r>
      <w:r w:rsidRPr="00834BAC">
        <w:rPr>
          <w:rFonts w:ascii="Times New Roman" w:hAnsi="Times New Roman" w:cs="Times New Roman"/>
          <w:i/>
          <w:iCs/>
          <w:sz w:val="20"/>
          <w:szCs w:val="20"/>
        </w:rPr>
        <w:t>See</w:t>
      </w:r>
      <w:r w:rsidRPr="00834BAC">
        <w:rPr>
          <w:rFonts w:ascii="Times New Roman" w:hAnsi="Times New Roman" w:cs="Times New Roman"/>
          <w:sz w:val="20"/>
          <w:szCs w:val="20"/>
        </w:rPr>
        <w:t xml:space="preserve"> David </w:t>
      </w:r>
      <w:proofErr w:type="spellStart"/>
      <w:r w:rsidRPr="00834BAC">
        <w:rPr>
          <w:rFonts w:ascii="Times New Roman" w:hAnsi="Times New Roman" w:cs="Times New Roman"/>
          <w:sz w:val="20"/>
          <w:szCs w:val="20"/>
        </w:rPr>
        <w:t>Hodas</w:t>
      </w:r>
      <w:proofErr w:type="spellEnd"/>
      <w:r w:rsidRPr="00834BAC">
        <w:rPr>
          <w:rFonts w:ascii="Times New Roman" w:hAnsi="Times New Roman" w:cs="Times New Roman"/>
          <w:sz w:val="20"/>
          <w:szCs w:val="20"/>
        </w:rPr>
        <w:t xml:space="preserve">, </w:t>
      </w:r>
      <w:r w:rsidRPr="00834BAC">
        <w:rPr>
          <w:rFonts w:ascii="Times New Roman" w:hAnsi="Times New Roman" w:cs="Times New Roman"/>
          <w:i/>
          <w:sz w:val="20"/>
          <w:szCs w:val="20"/>
        </w:rPr>
        <w:t>Natural Resource Damages: A Research Guide</w:t>
      </w:r>
      <w:r w:rsidRPr="00834BAC">
        <w:rPr>
          <w:rFonts w:ascii="Times New Roman" w:hAnsi="Times New Roman" w:cs="Times New Roman"/>
          <w:sz w:val="20"/>
          <w:szCs w:val="20"/>
        </w:rPr>
        <w:t xml:space="preserve">, 9 </w:t>
      </w:r>
      <w:r w:rsidRPr="00834BAC">
        <w:rPr>
          <w:rFonts w:ascii="Times New Roman" w:hAnsi="Times New Roman" w:cs="Times New Roman"/>
          <w:smallCaps/>
          <w:sz w:val="20"/>
          <w:szCs w:val="20"/>
        </w:rPr>
        <w:t xml:space="preserve">Pace </w:t>
      </w:r>
      <w:proofErr w:type="spellStart"/>
      <w:r w:rsidRPr="00834BAC">
        <w:rPr>
          <w:rFonts w:ascii="Times New Roman" w:hAnsi="Times New Roman" w:cs="Times New Roman"/>
          <w:smallCaps/>
          <w:sz w:val="20"/>
          <w:szCs w:val="20"/>
        </w:rPr>
        <w:t>Envtl</w:t>
      </w:r>
      <w:proofErr w:type="spellEnd"/>
      <w:r w:rsidRPr="00834BAC">
        <w:rPr>
          <w:rFonts w:ascii="Times New Roman" w:hAnsi="Times New Roman" w:cs="Times New Roman"/>
          <w:smallCaps/>
          <w:sz w:val="20"/>
          <w:szCs w:val="20"/>
        </w:rPr>
        <w:t>. L. Rev</w:t>
      </w:r>
      <w:r w:rsidRPr="00834BAC">
        <w:rPr>
          <w:rFonts w:ascii="Times New Roman" w:hAnsi="Times New Roman" w:cs="Times New Roman"/>
          <w:sz w:val="20"/>
          <w:szCs w:val="20"/>
        </w:rPr>
        <w:t xml:space="preserve">. </w:t>
      </w:r>
      <w:r w:rsidRPr="00834BAC">
        <w:rPr>
          <w:rFonts w:ascii="Times New Roman" w:hAnsi="Times New Roman" w:cs="Times New Roman"/>
          <w:w w:val="110"/>
          <w:sz w:val="20"/>
          <w:szCs w:val="20"/>
        </w:rPr>
        <w:t>107,</w:t>
      </w:r>
      <w:r w:rsidRPr="00834BAC">
        <w:rPr>
          <w:rFonts w:ascii="Times New Roman" w:hAnsi="Times New Roman" w:cs="Times New Roman"/>
          <w:spacing w:val="-19"/>
          <w:w w:val="110"/>
          <w:sz w:val="20"/>
          <w:szCs w:val="20"/>
        </w:rPr>
        <w:t xml:space="preserve"> </w:t>
      </w:r>
      <w:r w:rsidRPr="00834BAC">
        <w:rPr>
          <w:rFonts w:ascii="Times New Roman" w:hAnsi="Times New Roman" w:cs="Times New Roman"/>
          <w:w w:val="110"/>
          <w:sz w:val="20"/>
          <w:szCs w:val="20"/>
        </w:rPr>
        <w:t>108</w:t>
      </w:r>
      <w:r w:rsidRPr="00834BAC">
        <w:rPr>
          <w:rFonts w:ascii="Times New Roman" w:hAnsi="Times New Roman" w:cs="Times New Roman"/>
          <w:spacing w:val="-19"/>
          <w:w w:val="110"/>
          <w:sz w:val="20"/>
          <w:szCs w:val="20"/>
        </w:rPr>
        <w:t xml:space="preserve"> </w:t>
      </w:r>
      <w:r w:rsidRPr="00834BAC">
        <w:rPr>
          <w:rFonts w:ascii="Times New Roman" w:hAnsi="Times New Roman" w:cs="Times New Roman"/>
          <w:w w:val="110"/>
          <w:sz w:val="20"/>
          <w:szCs w:val="20"/>
        </w:rPr>
        <w:t>(1991).</w:t>
      </w:r>
    </w:p>
  </w:footnote>
  <w:footnote w:id="39">
    <w:p w:rsidR="00401159" w:rsidRPr="00834BAC" w:rsidRDefault="00401159" w:rsidP="00ED3387">
      <w:pPr>
        <w:widowControl w:val="0"/>
        <w:tabs>
          <w:tab w:val="left" w:pos="1520"/>
        </w:tabs>
        <w:rPr>
          <w:rFonts w:ascii="Times New Roman" w:hAnsi="Times New Roman" w:cs="Times New Roman"/>
          <w:iCs/>
          <w:sz w:val="20"/>
          <w:szCs w:val="20"/>
        </w:rPr>
      </w:pPr>
      <w:r w:rsidRPr="00834BAC">
        <w:rPr>
          <w:rStyle w:val="FootnoteReference"/>
          <w:rFonts w:ascii="Times New Roman" w:hAnsi="Times New Roman" w:cs="Times New Roman"/>
          <w:sz w:val="20"/>
          <w:szCs w:val="20"/>
        </w:rPr>
        <w:footnoteRef/>
      </w:r>
      <w:r w:rsidRPr="00834BAC">
        <w:rPr>
          <w:rFonts w:ascii="Times New Roman" w:hAnsi="Times New Roman" w:cs="Times New Roman"/>
          <w:sz w:val="20"/>
          <w:szCs w:val="20"/>
        </w:rPr>
        <w:t xml:space="preserve"> Global Climate Change: </w:t>
      </w:r>
      <w:r w:rsidRPr="00834BAC">
        <w:rPr>
          <w:rFonts w:ascii="Times New Roman" w:hAnsi="Times New Roman" w:cs="Times New Roman"/>
          <w:iCs/>
          <w:w w:val="105"/>
          <w:sz w:val="20"/>
          <w:szCs w:val="20"/>
        </w:rPr>
        <w:t xml:space="preserve">Carbon Dioxide, NASA (Oct. 2019), </w:t>
      </w:r>
      <w:hyperlink r:id="rId1" w:history="1">
        <w:r w:rsidRPr="00834BAC">
          <w:rPr>
            <w:rStyle w:val="Hyperlink"/>
            <w:rFonts w:ascii="Times New Roman" w:hAnsi="Times New Roman" w:cs="Times New Roman"/>
            <w:iCs/>
            <w:w w:val="105"/>
            <w:sz w:val="20"/>
            <w:szCs w:val="20"/>
          </w:rPr>
          <w:t>https://climate.nasa.gov/vital-signs/carbon-dioxide/</w:t>
        </w:r>
      </w:hyperlink>
      <w:r w:rsidRPr="00834BAC">
        <w:rPr>
          <w:rFonts w:ascii="Times New Roman" w:hAnsi="Times New Roman" w:cs="Times New Roman"/>
          <w:iCs/>
          <w:w w:val="105"/>
          <w:sz w:val="20"/>
          <w:szCs w:val="20"/>
        </w:rPr>
        <w:t xml:space="preserve">. </w:t>
      </w:r>
    </w:p>
  </w:footnote>
  <w:footnote w:id="40">
    <w:p w:rsidR="00401159" w:rsidRPr="00834BAC" w:rsidRDefault="00401159" w:rsidP="0032235A">
      <w:pPr>
        <w:rPr>
          <w:rFonts w:ascii="Times New Roman" w:eastAsia="Times New Roman" w:hAnsi="Times New Roman" w:cs="Times New Roman"/>
          <w:sz w:val="20"/>
          <w:szCs w:val="20"/>
        </w:rPr>
      </w:pPr>
      <w:r w:rsidRPr="00834BAC">
        <w:rPr>
          <w:rStyle w:val="FootnoteReference"/>
          <w:rFonts w:ascii="Times New Roman" w:hAnsi="Times New Roman" w:cs="Times New Roman"/>
          <w:sz w:val="20"/>
          <w:szCs w:val="20"/>
        </w:rPr>
        <w:footnoteRef/>
      </w:r>
      <w:r w:rsidRPr="00834BAC">
        <w:rPr>
          <w:rFonts w:ascii="Times New Roman" w:hAnsi="Times New Roman" w:cs="Times New Roman"/>
          <w:sz w:val="20"/>
          <w:szCs w:val="20"/>
        </w:rPr>
        <w:t xml:space="preserve"> </w:t>
      </w:r>
      <w:r w:rsidRPr="00834BAC">
        <w:rPr>
          <w:rFonts w:ascii="Times New Roman" w:hAnsi="Times New Roman" w:cs="Times New Roman"/>
          <w:i/>
          <w:iCs/>
          <w:sz w:val="20"/>
          <w:szCs w:val="20"/>
        </w:rPr>
        <w:t>See supra</w:t>
      </w:r>
      <w:r w:rsidRPr="00834BAC">
        <w:rPr>
          <w:rFonts w:ascii="Times New Roman" w:hAnsi="Times New Roman" w:cs="Times New Roman"/>
          <w:sz w:val="20"/>
          <w:szCs w:val="20"/>
        </w:rPr>
        <w:t>,</w:t>
      </w:r>
      <w:r w:rsidRPr="00834BAC">
        <w:rPr>
          <w:rFonts w:ascii="Times New Roman" w:hAnsi="Times New Roman" w:cs="Times New Roman"/>
          <w:i/>
          <w:iCs/>
          <w:sz w:val="20"/>
          <w:szCs w:val="20"/>
        </w:rPr>
        <w:t xml:space="preserve"> </w:t>
      </w:r>
      <w:r w:rsidRPr="00834BAC">
        <w:rPr>
          <w:rFonts w:ascii="Times New Roman" w:hAnsi="Times New Roman" w:cs="Times New Roman"/>
          <w:sz w:val="20"/>
          <w:szCs w:val="20"/>
        </w:rPr>
        <w:t>note 2.</w:t>
      </w:r>
      <w:r w:rsidR="008470EF">
        <w:rPr>
          <w:rFonts w:ascii="Times New Roman" w:hAnsi="Times New Roman" w:cs="Times New Roman"/>
          <w:sz w:val="20"/>
          <w:szCs w:val="20"/>
        </w:rPr>
        <w:t xml:space="preserve">    </w:t>
      </w:r>
    </w:p>
  </w:footnote>
  <w:footnote w:id="41">
    <w:p w:rsidR="00401159" w:rsidRPr="00834BAC" w:rsidRDefault="00401159">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For discussion of sovereign trustees, see Wood &amp; </w:t>
      </w:r>
      <w:proofErr w:type="spellStart"/>
      <w:r w:rsidRPr="00834BAC">
        <w:rPr>
          <w:rFonts w:ascii="Times New Roman" w:hAnsi="Times New Roman" w:cs="Times New Roman"/>
        </w:rPr>
        <w:t>Galpern</w:t>
      </w:r>
      <w:proofErr w:type="spellEnd"/>
      <w:r w:rsidRPr="00834BAC">
        <w:rPr>
          <w:rFonts w:ascii="Times New Roman" w:hAnsi="Times New Roman" w:cs="Times New Roman"/>
        </w:rPr>
        <w:t xml:space="preserve">, </w:t>
      </w:r>
      <w:r w:rsidRPr="00834BAC">
        <w:rPr>
          <w:rFonts w:ascii="Times New Roman" w:hAnsi="Times New Roman" w:cs="Times New Roman"/>
          <w:i/>
          <w:iCs/>
        </w:rPr>
        <w:t>supra</w:t>
      </w:r>
      <w:r w:rsidRPr="00834BAC">
        <w:rPr>
          <w:rFonts w:ascii="Times New Roman" w:hAnsi="Times New Roman" w:cs="Times New Roman"/>
        </w:rPr>
        <w:t xml:space="preserve"> note 1, at 128-30.</w:t>
      </w:r>
    </w:p>
  </w:footnote>
  <w:footnote w:id="42">
    <w:p w:rsidR="00401159" w:rsidRPr="00834BAC" w:rsidRDefault="00401159" w:rsidP="00B3013B">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w:t>
      </w:r>
      <w:r w:rsidRPr="00834BAC">
        <w:rPr>
          <w:rFonts w:ascii="Times New Roman" w:eastAsia="Times New Roman" w:hAnsi="Times New Roman" w:cs="Times New Roman"/>
        </w:rPr>
        <w:t>United Nations Framework Convention on Climate Change, May 9, 1992, 1771 U.N.T.S. 107.</w:t>
      </w:r>
    </w:p>
  </w:footnote>
  <w:footnote w:id="43">
    <w:p w:rsidR="00401159" w:rsidRPr="00834BAC" w:rsidRDefault="00401159" w:rsidP="006E7898">
      <w:pPr>
        <w:widowControl w:val="0"/>
        <w:tabs>
          <w:tab w:val="left" w:pos="1520"/>
        </w:tabs>
        <w:spacing w:line="182" w:lineRule="exact"/>
        <w:rPr>
          <w:rFonts w:ascii="Times New Roman" w:hAnsi="Times New Roman" w:cs="Times New Roman"/>
          <w:sz w:val="20"/>
          <w:szCs w:val="20"/>
        </w:rPr>
      </w:pPr>
      <w:r w:rsidRPr="00834BAC">
        <w:rPr>
          <w:rStyle w:val="FootnoteReference"/>
          <w:rFonts w:ascii="Times New Roman" w:hAnsi="Times New Roman" w:cs="Times New Roman"/>
          <w:sz w:val="20"/>
          <w:szCs w:val="20"/>
        </w:rPr>
        <w:footnoteRef/>
      </w:r>
      <w:r w:rsidRPr="00834BAC">
        <w:rPr>
          <w:rFonts w:ascii="Times New Roman" w:hAnsi="Times New Roman" w:cs="Times New Roman"/>
          <w:sz w:val="20"/>
          <w:szCs w:val="20"/>
        </w:rPr>
        <w:t xml:space="preserve">  Richard </w:t>
      </w:r>
      <w:proofErr w:type="spellStart"/>
      <w:r w:rsidRPr="00834BAC">
        <w:rPr>
          <w:rFonts w:ascii="Times New Roman" w:hAnsi="Times New Roman" w:cs="Times New Roman"/>
          <w:sz w:val="20"/>
          <w:szCs w:val="20"/>
        </w:rPr>
        <w:t>Heede</w:t>
      </w:r>
      <w:proofErr w:type="spellEnd"/>
      <w:r w:rsidRPr="00834BAC">
        <w:rPr>
          <w:rFonts w:ascii="Times New Roman" w:hAnsi="Times New Roman" w:cs="Times New Roman"/>
          <w:sz w:val="20"/>
          <w:szCs w:val="20"/>
        </w:rPr>
        <w:t xml:space="preserve">, </w:t>
      </w:r>
      <w:r w:rsidRPr="00834BAC">
        <w:rPr>
          <w:rFonts w:ascii="Times New Roman" w:hAnsi="Times New Roman" w:cs="Times New Roman"/>
          <w:i/>
          <w:iCs/>
          <w:sz w:val="20"/>
          <w:szCs w:val="20"/>
        </w:rPr>
        <w:t>Carbon Majors: Accounting for Carbon and Methane Emissions 1854-2010</w:t>
      </w:r>
      <w:r w:rsidRPr="00834BAC">
        <w:rPr>
          <w:rFonts w:ascii="Times New Roman" w:hAnsi="Times New Roman" w:cs="Times New Roman"/>
          <w:sz w:val="20"/>
          <w:szCs w:val="20"/>
        </w:rPr>
        <w:t xml:space="preserve">, </w:t>
      </w:r>
      <w:r w:rsidRPr="00834BAC">
        <w:rPr>
          <w:rFonts w:ascii="Times New Roman" w:hAnsi="Times New Roman" w:cs="Times New Roman"/>
          <w:smallCaps/>
          <w:sz w:val="20"/>
          <w:szCs w:val="20"/>
        </w:rPr>
        <w:t>Climate Mitigation Servs.</w:t>
      </w:r>
      <w:r w:rsidRPr="00834BAC">
        <w:rPr>
          <w:rFonts w:ascii="Times New Roman" w:hAnsi="Times New Roman" w:cs="Times New Roman"/>
          <w:sz w:val="20"/>
          <w:szCs w:val="20"/>
        </w:rPr>
        <w:t xml:space="preserve"> 8-9, 25-30 (2014).</w:t>
      </w:r>
      <w:r w:rsidRPr="00834BAC">
        <w:rPr>
          <w:rFonts w:ascii="Times New Roman" w:hAnsi="Times New Roman" w:cs="Times New Roman"/>
          <w:i/>
          <w:iCs/>
          <w:sz w:val="20"/>
          <w:szCs w:val="20"/>
        </w:rPr>
        <w:t xml:space="preserve"> </w:t>
      </w:r>
    </w:p>
  </w:footnote>
  <w:footnote w:id="44">
    <w:p w:rsidR="00401159" w:rsidRPr="00834BAC" w:rsidRDefault="00401159" w:rsidP="00B3013B">
      <w:pPr>
        <w:spacing w:before="7" w:line="244" w:lineRule="auto"/>
        <w:ind w:right="1037"/>
        <w:jc w:val="both"/>
        <w:rPr>
          <w:rFonts w:ascii="Times New Roman" w:eastAsia="Times New Roman" w:hAnsi="Times New Roman" w:cs="Times New Roman"/>
          <w:sz w:val="20"/>
          <w:szCs w:val="20"/>
        </w:rPr>
      </w:pPr>
      <w:r w:rsidRPr="00834BAC">
        <w:rPr>
          <w:rStyle w:val="FootnoteReference"/>
          <w:rFonts w:ascii="Times New Roman" w:eastAsia="Times New Roman" w:hAnsi="Times New Roman" w:cs="Times New Roman"/>
          <w:sz w:val="20"/>
          <w:szCs w:val="20"/>
        </w:rPr>
        <w:footnoteRef/>
      </w:r>
      <w:r w:rsidRPr="00834BAC">
        <w:rPr>
          <w:rFonts w:ascii="Times New Roman" w:eastAsia="Times New Roman" w:hAnsi="Times New Roman" w:cs="Times New Roman"/>
          <w:sz w:val="20"/>
          <w:szCs w:val="20"/>
        </w:rPr>
        <w:t xml:space="preserve"> </w:t>
      </w:r>
      <w:r w:rsidRPr="00834BAC">
        <w:rPr>
          <w:rFonts w:ascii="Times New Roman" w:eastAsia="Times New Roman" w:hAnsi="Times New Roman" w:cs="Times New Roman"/>
          <w:w w:val="105"/>
          <w:sz w:val="20"/>
          <w:szCs w:val="20"/>
        </w:rPr>
        <w:t>Suzanne</w:t>
      </w:r>
      <w:r w:rsidRPr="00834BAC">
        <w:rPr>
          <w:rFonts w:ascii="Times New Roman" w:eastAsia="Times New Roman" w:hAnsi="Times New Roman" w:cs="Times New Roman"/>
          <w:spacing w:val="-18"/>
          <w:w w:val="105"/>
          <w:sz w:val="20"/>
          <w:szCs w:val="20"/>
        </w:rPr>
        <w:t xml:space="preserve"> </w:t>
      </w:r>
      <w:r w:rsidRPr="00834BAC">
        <w:rPr>
          <w:rFonts w:ascii="Times New Roman" w:eastAsia="Times New Roman" w:hAnsi="Times New Roman" w:cs="Times New Roman"/>
          <w:w w:val="105"/>
          <w:sz w:val="20"/>
          <w:szCs w:val="20"/>
        </w:rPr>
        <w:t>Goldenberg,</w:t>
      </w:r>
      <w:r w:rsidRPr="00834BAC">
        <w:rPr>
          <w:rFonts w:ascii="Times New Roman" w:eastAsia="Times New Roman" w:hAnsi="Times New Roman" w:cs="Times New Roman"/>
          <w:spacing w:val="-17"/>
          <w:w w:val="105"/>
          <w:sz w:val="20"/>
          <w:szCs w:val="20"/>
        </w:rPr>
        <w:t xml:space="preserve"> </w:t>
      </w:r>
      <w:r w:rsidRPr="00834BAC">
        <w:rPr>
          <w:rFonts w:ascii="Times New Roman" w:eastAsia="Times New Roman" w:hAnsi="Times New Roman" w:cs="Times New Roman"/>
          <w:i/>
          <w:w w:val="105"/>
          <w:sz w:val="20"/>
          <w:szCs w:val="20"/>
        </w:rPr>
        <w:t>Just</w:t>
      </w:r>
      <w:r w:rsidRPr="00834BAC">
        <w:rPr>
          <w:rFonts w:ascii="Times New Roman" w:eastAsia="Times New Roman" w:hAnsi="Times New Roman" w:cs="Times New Roman"/>
          <w:i/>
          <w:spacing w:val="-19"/>
          <w:w w:val="105"/>
          <w:sz w:val="20"/>
          <w:szCs w:val="20"/>
        </w:rPr>
        <w:t xml:space="preserve"> </w:t>
      </w:r>
      <w:r w:rsidRPr="00834BAC">
        <w:rPr>
          <w:rFonts w:ascii="Times New Roman" w:eastAsia="Times New Roman" w:hAnsi="Times New Roman" w:cs="Times New Roman"/>
          <w:i/>
          <w:w w:val="105"/>
          <w:sz w:val="20"/>
          <w:szCs w:val="20"/>
        </w:rPr>
        <w:t>90</w:t>
      </w:r>
      <w:r w:rsidRPr="00834BAC">
        <w:rPr>
          <w:rFonts w:ascii="Times New Roman" w:eastAsia="Times New Roman" w:hAnsi="Times New Roman" w:cs="Times New Roman"/>
          <w:i/>
          <w:spacing w:val="-19"/>
          <w:w w:val="105"/>
          <w:sz w:val="20"/>
          <w:szCs w:val="20"/>
        </w:rPr>
        <w:t xml:space="preserve"> </w:t>
      </w:r>
      <w:r w:rsidRPr="00834BAC">
        <w:rPr>
          <w:rFonts w:ascii="Times New Roman" w:eastAsia="Times New Roman" w:hAnsi="Times New Roman" w:cs="Times New Roman"/>
          <w:i/>
          <w:w w:val="105"/>
          <w:sz w:val="20"/>
          <w:szCs w:val="20"/>
        </w:rPr>
        <w:t>Companies</w:t>
      </w:r>
      <w:r w:rsidRPr="00834BAC">
        <w:rPr>
          <w:rFonts w:ascii="Times New Roman" w:eastAsia="Times New Roman" w:hAnsi="Times New Roman" w:cs="Times New Roman"/>
          <w:i/>
          <w:spacing w:val="-20"/>
          <w:w w:val="105"/>
          <w:sz w:val="20"/>
          <w:szCs w:val="20"/>
        </w:rPr>
        <w:t xml:space="preserve"> </w:t>
      </w:r>
      <w:r w:rsidRPr="00834BAC">
        <w:rPr>
          <w:rFonts w:ascii="Times New Roman" w:eastAsia="Times New Roman" w:hAnsi="Times New Roman" w:cs="Times New Roman"/>
          <w:i/>
          <w:w w:val="105"/>
          <w:sz w:val="20"/>
          <w:szCs w:val="20"/>
        </w:rPr>
        <w:t>Caused</w:t>
      </w:r>
      <w:r w:rsidRPr="00834BAC">
        <w:rPr>
          <w:rFonts w:ascii="Times New Roman" w:eastAsia="Times New Roman" w:hAnsi="Times New Roman" w:cs="Times New Roman"/>
          <w:i/>
          <w:spacing w:val="-20"/>
          <w:w w:val="105"/>
          <w:sz w:val="20"/>
          <w:szCs w:val="20"/>
        </w:rPr>
        <w:t xml:space="preserve"> </w:t>
      </w:r>
      <w:r w:rsidRPr="00834BAC">
        <w:rPr>
          <w:rFonts w:ascii="Times New Roman" w:eastAsia="Times New Roman" w:hAnsi="Times New Roman" w:cs="Times New Roman"/>
          <w:i/>
          <w:w w:val="105"/>
          <w:sz w:val="20"/>
          <w:szCs w:val="20"/>
        </w:rPr>
        <w:t>Two-Thirds</w:t>
      </w:r>
      <w:r w:rsidRPr="00834BAC">
        <w:rPr>
          <w:rFonts w:ascii="Times New Roman" w:eastAsia="Times New Roman" w:hAnsi="Times New Roman" w:cs="Times New Roman"/>
          <w:i/>
          <w:spacing w:val="-19"/>
          <w:w w:val="105"/>
          <w:sz w:val="20"/>
          <w:szCs w:val="20"/>
        </w:rPr>
        <w:t xml:space="preserve"> </w:t>
      </w:r>
      <w:r w:rsidRPr="00834BAC">
        <w:rPr>
          <w:rFonts w:ascii="Times New Roman" w:eastAsia="Times New Roman" w:hAnsi="Times New Roman" w:cs="Times New Roman"/>
          <w:i/>
          <w:w w:val="105"/>
          <w:sz w:val="20"/>
          <w:szCs w:val="20"/>
        </w:rPr>
        <w:t>of</w:t>
      </w:r>
      <w:r w:rsidRPr="00834BAC">
        <w:rPr>
          <w:rFonts w:ascii="Times New Roman" w:eastAsia="Times New Roman" w:hAnsi="Times New Roman" w:cs="Times New Roman"/>
          <w:i/>
          <w:spacing w:val="-20"/>
          <w:w w:val="105"/>
          <w:sz w:val="20"/>
          <w:szCs w:val="20"/>
        </w:rPr>
        <w:t xml:space="preserve"> </w:t>
      </w:r>
      <w:r w:rsidRPr="00834BAC">
        <w:rPr>
          <w:rFonts w:ascii="Times New Roman" w:eastAsia="Times New Roman" w:hAnsi="Times New Roman" w:cs="Times New Roman"/>
          <w:i/>
          <w:w w:val="105"/>
          <w:sz w:val="20"/>
          <w:szCs w:val="20"/>
        </w:rPr>
        <w:t>Man-Made</w:t>
      </w:r>
      <w:r w:rsidRPr="00834BAC">
        <w:rPr>
          <w:rFonts w:ascii="Times New Roman" w:eastAsia="Times New Roman" w:hAnsi="Times New Roman" w:cs="Times New Roman"/>
          <w:i/>
          <w:spacing w:val="-19"/>
          <w:w w:val="105"/>
          <w:sz w:val="20"/>
          <w:szCs w:val="20"/>
        </w:rPr>
        <w:t xml:space="preserve"> </w:t>
      </w:r>
      <w:r w:rsidRPr="00834BAC">
        <w:rPr>
          <w:rFonts w:ascii="Times New Roman" w:eastAsia="Times New Roman" w:hAnsi="Times New Roman" w:cs="Times New Roman"/>
          <w:i/>
          <w:w w:val="105"/>
          <w:sz w:val="20"/>
          <w:szCs w:val="20"/>
        </w:rPr>
        <w:t>Global</w:t>
      </w:r>
      <w:r w:rsidRPr="00834BAC">
        <w:rPr>
          <w:rFonts w:ascii="Times New Roman" w:eastAsia="Times New Roman" w:hAnsi="Times New Roman" w:cs="Times New Roman"/>
          <w:i/>
          <w:spacing w:val="-20"/>
          <w:w w:val="105"/>
          <w:sz w:val="20"/>
          <w:szCs w:val="20"/>
        </w:rPr>
        <w:t xml:space="preserve"> </w:t>
      </w:r>
      <w:r w:rsidRPr="00834BAC">
        <w:rPr>
          <w:rFonts w:ascii="Times New Roman" w:eastAsia="Times New Roman" w:hAnsi="Times New Roman" w:cs="Times New Roman"/>
          <w:i/>
          <w:w w:val="105"/>
          <w:sz w:val="20"/>
          <w:szCs w:val="20"/>
        </w:rPr>
        <w:t>Warming Emissions</w:t>
      </w:r>
      <w:r w:rsidRPr="00834BAC">
        <w:rPr>
          <w:rFonts w:ascii="Times New Roman" w:eastAsia="Times New Roman" w:hAnsi="Times New Roman" w:cs="Times New Roman"/>
          <w:w w:val="105"/>
          <w:sz w:val="20"/>
          <w:szCs w:val="20"/>
        </w:rPr>
        <w:t>,</w:t>
      </w:r>
      <w:r w:rsidRPr="00834BAC">
        <w:rPr>
          <w:rFonts w:ascii="Times New Roman" w:eastAsia="Times New Roman" w:hAnsi="Times New Roman" w:cs="Times New Roman"/>
          <w:spacing w:val="-10"/>
          <w:w w:val="105"/>
          <w:sz w:val="20"/>
          <w:szCs w:val="20"/>
        </w:rPr>
        <w:t xml:space="preserve"> </w:t>
      </w:r>
      <w:r w:rsidR="00A01270">
        <w:rPr>
          <w:rFonts w:ascii="Times New Roman" w:eastAsia="Times New Roman" w:hAnsi="Times New Roman" w:cs="Times New Roman"/>
          <w:smallCaps/>
          <w:w w:val="105"/>
          <w:sz w:val="20"/>
          <w:szCs w:val="20"/>
        </w:rPr>
        <w:t>The G</w:t>
      </w:r>
      <w:r w:rsidRPr="00834BAC">
        <w:rPr>
          <w:rFonts w:ascii="Times New Roman" w:eastAsia="Times New Roman" w:hAnsi="Times New Roman" w:cs="Times New Roman"/>
          <w:smallCaps/>
          <w:w w:val="105"/>
          <w:sz w:val="20"/>
          <w:szCs w:val="20"/>
        </w:rPr>
        <w:t>uardian</w:t>
      </w:r>
      <w:r w:rsidRPr="00834BAC">
        <w:rPr>
          <w:rFonts w:ascii="Times New Roman" w:eastAsia="Times New Roman" w:hAnsi="Times New Roman" w:cs="Times New Roman"/>
          <w:spacing w:val="-10"/>
          <w:w w:val="105"/>
          <w:sz w:val="20"/>
          <w:szCs w:val="20"/>
        </w:rPr>
        <w:t xml:space="preserve"> (</w:t>
      </w:r>
      <w:r w:rsidRPr="00834BAC">
        <w:rPr>
          <w:rFonts w:ascii="Times New Roman" w:eastAsia="Times New Roman" w:hAnsi="Times New Roman" w:cs="Times New Roman"/>
          <w:w w:val="105"/>
          <w:sz w:val="20"/>
          <w:szCs w:val="20"/>
        </w:rPr>
        <w:t>Nov.</w:t>
      </w:r>
      <w:r w:rsidRPr="00834BAC">
        <w:rPr>
          <w:rFonts w:ascii="Times New Roman" w:eastAsia="Times New Roman" w:hAnsi="Times New Roman" w:cs="Times New Roman"/>
          <w:spacing w:val="-10"/>
          <w:w w:val="105"/>
          <w:sz w:val="20"/>
          <w:szCs w:val="20"/>
        </w:rPr>
        <w:t xml:space="preserve"> </w:t>
      </w:r>
      <w:r w:rsidRPr="00834BAC">
        <w:rPr>
          <w:rFonts w:ascii="Times New Roman" w:eastAsia="Times New Roman" w:hAnsi="Times New Roman" w:cs="Times New Roman"/>
          <w:w w:val="105"/>
          <w:sz w:val="20"/>
          <w:szCs w:val="20"/>
        </w:rPr>
        <w:t>20,</w:t>
      </w:r>
      <w:r w:rsidRPr="00834BAC">
        <w:rPr>
          <w:rFonts w:ascii="Times New Roman" w:eastAsia="Times New Roman" w:hAnsi="Times New Roman" w:cs="Times New Roman"/>
          <w:spacing w:val="-10"/>
          <w:w w:val="105"/>
          <w:sz w:val="20"/>
          <w:szCs w:val="20"/>
        </w:rPr>
        <w:t xml:space="preserve"> </w:t>
      </w:r>
      <w:r w:rsidRPr="00834BAC">
        <w:rPr>
          <w:rFonts w:ascii="Times New Roman" w:eastAsia="Times New Roman" w:hAnsi="Times New Roman" w:cs="Times New Roman"/>
          <w:w w:val="105"/>
          <w:sz w:val="20"/>
          <w:szCs w:val="20"/>
        </w:rPr>
        <w:t>2013).</w:t>
      </w:r>
    </w:p>
  </w:footnote>
  <w:footnote w:id="45">
    <w:p w:rsidR="00401159" w:rsidRPr="00834BAC" w:rsidRDefault="00401159" w:rsidP="00B3013B">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w:t>
      </w:r>
      <w:r w:rsidRPr="00834BAC">
        <w:rPr>
          <w:rFonts w:ascii="Times New Roman" w:hAnsi="Times New Roman" w:cs="Times New Roman"/>
          <w:i/>
          <w:iCs/>
        </w:rPr>
        <w:t xml:space="preserve">City of New York, </w:t>
      </w:r>
      <w:r w:rsidRPr="00834BAC">
        <w:rPr>
          <w:rFonts w:ascii="Times New Roman" w:hAnsi="Times New Roman" w:cs="Times New Roman"/>
        </w:rPr>
        <w:t xml:space="preserve">325 F. Supp. 3d 466; </w:t>
      </w:r>
      <w:r w:rsidRPr="00834BAC">
        <w:rPr>
          <w:rFonts w:ascii="Times New Roman" w:hAnsi="Times New Roman" w:cs="Times New Roman"/>
          <w:bCs/>
          <w:i/>
          <w:iCs/>
        </w:rPr>
        <w:t>City of Oakland</w:t>
      </w:r>
      <w:r w:rsidRPr="00834BAC">
        <w:rPr>
          <w:rFonts w:ascii="Times New Roman" w:hAnsi="Times New Roman" w:cs="Times New Roman"/>
          <w:bCs/>
        </w:rPr>
        <w:t>, 325 F. Supp. 3d 1017.</w:t>
      </w:r>
    </w:p>
  </w:footnote>
  <w:footnote w:id="46">
    <w:p w:rsidR="00401159" w:rsidRPr="00834BAC" w:rsidRDefault="00401159" w:rsidP="00A814EF">
      <w:pPr>
        <w:rPr>
          <w:rFonts w:ascii="Times New Roman" w:eastAsia="Times New Roman" w:hAnsi="Times New Roman" w:cs="Times New Roman"/>
          <w:sz w:val="20"/>
          <w:szCs w:val="20"/>
        </w:rPr>
      </w:pPr>
      <w:r w:rsidRPr="00834BAC">
        <w:rPr>
          <w:rStyle w:val="FootnoteReference"/>
          <w:rFonts w:ascii="Times New Roman" w:eastAsia="Times New Roman" w:hAnsi="Times New Roman" w:cs="Times New Roman"/>
          <w:color w:val="000000" w:themeColor="text1"/>
          <w:sz w:val="20"/>
          <w:szCs w:val="20"/>
        </w:rPr>
        <w:footnoteRef/>
      </w:r>
      <w:r w:rsidRPr="00834BAC">
        <w:rPr>
          <w:rFonts w:ascii="Times New Roman" w:eastAsia="Times New Roman" w:hAnsi="Times New Roman" w:cs="Times New Roman"/>
          <w:color w:val="000000" w:themeColor="text1"/>
          <w:sz w:val="20"/>
          <w:szCs w:val="20"/>
        </w:rPr>
        <w:t xml:space="preserve"> </w:t>
      </w:r>
      <w:r w:rsidRPr="00834BAC">
        <w:rPr>
          <w:rStyle w:val="query"/>
          <w:rFonts w:ascii="Times New Roman" w:hAnsi="Times New Roman" w:cs="Times New Roman"/>
          <w:color w:val="000000" w:themeColor="text1"/>
          <w:sz w:val="20"/>
          <w:szCs w:val="20"/>
        </w:rPr>
        <w:t xml:space="preserve">Rhode Island v. Chevron Corp., </w:t>
      </w:r>
      <w:r w:rsidRPr="00834BAC">
        <w:rPr>
          <w:rFonts w:ascii="Times New Roman" w:eastAsia="Times New Roman" w:hAnsi="Times New Roman" w:cs="Times New Roman"/>
          <w:sz w:val="20"/>
          <w:szCs w:val="20"/>
        </w:rPr>
        <w:t>2019 WL 3282007</w:t>
      </w:r>
      <w:r w:rsidRPr="00834BAC">
        <w:rPr>
          <w:rStyle w:val="query"/>
          <w:rFonts w:ascii="Times New Roman" w:hAnsi="Times New Roman" w:cs="Times New Roman"/>
          <w:color w:val="000000" w:themeColor="text1"/>
          <w:sz w:val="20"/>
          <w:szCs w:val="20"/>
        </w:rPr>
        <w:t xml:space="preserve"> (D. R.I. 2019). </w:t>
      </w:r>
      <w:r w:rsidRPr="00834BAC">
        <w:rPr>
          <w:rFonts w:ascii="Times New Roman" w:eastAsia="Times New Roman" w:hAnsi="Times New Roman" w:cs="Times New Roman"/>
          <w:color w:val="000000" w:themeColor="text1"/>
          <w:sz w:val="20"/>
          <w:szCs w:val="20"/>
        </w:rPr>
        <w:t xml:space="preserve">But in dismissing a climate liability case, Judge </w:t>
      </w:r>
      <w:proofErr w:type="spellStart"/>
      <w:r w:rsidRPr="00834BAC">
        <w:rPr>
          <w:rFonts w:ascii="Times New Roman" w:eastAsia="Times New Roman" w:hAnsi="Times New Roman" w:cs="Times New Roman"/>
          <w:color w:val="000000" w:themeColor="text1"/>
          <w:sz w:val="20"/>
          <w:szCs w:val="20"/>
        </w:rPr>
        <w:t>Alsup</w:t>
      </w:r>
      <w:proofErr w:type="spellEnd"/>
      <w:r w:rsidRPr="00834BAC">
        <w:rPr>
          <w:rFonts w:ascii="Times New Roman" w:eastAsia="Times New Roman" w:hAnsi="Times New Roman" w:cs="Times New Roman"/>
          <w:color w:val="000000" w:themeColor="text1"/>
          <w:sz w:val="20"/>
          <w:szCs w:val="20"/>
        </w:rPr>
        <w:t xml:space="preserve"> observed, </w:t>
      </w:r>
      <w:r w:rsidRPr="00834BAC">
        <w:rPr>
          <w:rFonts w:ascii="Times New Roman" w:hAnsi="Times New Roman" w:cs="Times New Roman"/>
          <w:color w:val="000000" w:themeColor="text1"/>
          <w:w w:val="110"/>
          <w:sz w:val="20"/>
          <w:szCs w:val="20"/>
        </w:rPr>
        <w:t xml:space="preserve">“[t]he </w:t>
      </w:r>
      <w:proofErr w:type="gramStart"/>
      <w:r w:rsidRPr="00834BAC">
        <w:rPr>
          <w:rFonts w:ascii="Times New Roman" w:hAnsi="Times New Roman" w:cs="Times New Roman"/>
          <w:color w:val="000000" w:themeColor="text1"/>
          <w:w w:val="110"/>
          <w:sz w:val="20"/>
          <w:szCs w:val="20"/>
        </w:rPr>
        <w:t>scope</w:t>
      </w:r>
      <w:proofErr w:type="gramEnd"/>
      <w:r w:rsidRPr="00834BAC">
        <w:rPr>
          <w:rFonts w:ascii="Times New Roman" w:hAnsi="Times New Roman" w:cs="Times New Roman"/>
          <w:color w:val="000000" w:themeColor="text1"/>
          <w:w w:val="110"/>
          <w:sz w:val="20"/>
          <w:szCs w:val="20"/>
        </w:rPr>
        <w:t xml:space="preserve"> of plaintiffs’ theory is breathtaking. It would reach the sale of fossil fuels anywhere in the world, including all past and otherwise lawful sales, where the seller knew that the combustion of fossil fuels contributed to the phenomenon of global warming.”  </w:t>
      </w:r>
      <w:r w:rsidRPr="00834BAC">
        <w:rPr>
          <w:rFonts w:ascii="Times New Roman" w:hAnsi="Times New Roman" w:cs="Times New Roman"/>
          <w:i/>
          <w:iCs/>
          <w:color w:val="000000" w:themeColor="text1"/>
          <w:w w:val="110"/>
          <w:sz w:val="20"/>
          <w:szCs w:val="20"/>
        </w:rPr>
        <w:t>City of Oakland</w:t>
      </w:r>
      <w:r w:rsidRPr="00834BAC">
        <w:rPr>
          <w:rFonts w:ascii="Times New Roman" w:hAnsi="Times New Roman" w:cs="Times New Roman"/>
          <w:color w:val="000000" w:themeColor="text1"/>
          <w:w w:val="110"/>
          <w:sz w:val="20"/>
          <w:szCs w:val="20"/>
        </w:rPr>
        <w:t xml:space="preserve">, </w:t>
      </w:r>
      <w:r w:rsidRPr="00834BAC">
        <w:rPr>
          <w:rFonts w:ascii="Times New Roman" w:hAnsi="Times New Roman" w:cs="Times New Roman"/>
          <w:bCs/>
          <w:sz w:val="20"/>
          <w:szCs w:val="20"/>
        </w:rPr>
        <w:t>325 F. Supp. 3d at 1022.</w:t>
      </w:r>
    </w:p>
  </w:footnote>
  <w:footnote w:id="47">
    <w:p w:rsidR="00401159" w:rsidRPr="00401159" w:rsidRDefault="00401159" w:rsidP="00A814EF">
      <w:pPr>
        <w:rPr>
          <w:rFonts w:ascii="Times New Roman" w:hAnsi="Times New Roman" w:cs="Times New Roman"/>
          <w:b/>
          <w:sz w:val="20"/>
          <w:szCs w:val="20"/>
        </w:rPr>
      </w:pPr>
      <w:r w:rsidRPr="00834BAC">
        <w:rPr>
          <w:rStyle w:val="FootnoteReference"/>
          <w:rFonts w:ascii="Times New Roman" w:hAnsi="Times New Roman" w:cs="Times New Roman"/>
          <w:sz w:val="20"/>
          <w:szCs w:val="20"/>
        </w:rPr>
        <w:footnoteRef/>
      </w:r>
      <w:r w:rsidRPr="00834BAC">
        <w:rPr>
          <w:rFonts w:ascii="Times New Roman" w:hAnsi="Times New Roman" w:cs="Times New Roman"/>
          <w:sz w:val="20"/>
          <w:szCs w:val="20"/>
        </w:rPr>
        <w:t xml:space="preserve"> See State v. Monsanto Co., No. 18CV00540 (Or. Cir. Ct. Jan. 9, 2019); State v. Monsanto Co., No. A1801237 (Ohio Ct. Com. Pl. Sept. 19, 2018); </w:t>
      </w:r>
      <w:r w:rsidRPr="00834BAC">
        <w:rPr>
          <w:rFonts w:ascii="Times New Roman" w:hAnsi="Times New Roman" w:cs="Times New Roman"/>
          <w:i/>
          <w:iCs/>
          <w:sz w:val="20"/>
          <w:szCs w:val="20"/>
        </w:rPr>
        <w:t>City of Seattle,</w:t>
      </w:r>
      <w:r w:rsidRPr="00834BAC">
        <w:rPr>
          <w:rFonts w:ascii="Times New Roman" w:hAnsi="Times New Roman" w:cs="Times New Roman"/>
          <w:sz w:val="20"/>
          <w:szCs w:val="20"/>
        </w:rPr>
        <w:t xml:space="preserve"> 237 F. Supp. 3d 1096 (W.D. Wash. 2017); </w:t>
      </w:r>
      <w:r w:rsidRPr="00834BAC">
        <w:rPr>
          <w:rFonts w:ascii="Times New Roman" w:hAnsi="Times New Roman" w:cs="Times New Roman"/>
          <w:i/>
          <w:iCs/>
          <w:sz w:val="20"/>
          <w:szCs w:val="20"/>
        </w:rPr>
        <w:t>City of Spokane</w:t>
      </w:r>
      <w:r w:rsidRPr="00834BAC">
        <w:rPr>
          <w:rFonts w:ascii="Times New Roman" w:hAnsi="Times New Roman" w:cs="Times New Roman"/>
          <w:sz w:val="20"/>
          <w:szCs w:val="20"/>
        </w:rPr>
        <w:t xml:space="preserve">, 2016 WL </w:t>
      </w:r>
      <w:r w:rsidRPr="00834BAC">
        <w:rPr>
          <w:rFonts w:ascii="Times New Roman" w:eastAsia="Times New Roman" w:hAnsi="Times New Roman" w:cs="Times New Roman"/>
          <w:sz w:val="20"/>
          <w:szCs w:val="20"/>
        </w:rPr>
        <w:t>6275164</w:t>
      </w:r>
      <w:r w:rsidRPr="00834BAC">
        <w:rPr>
          <w:rFonts w:ascii="Times New Roman" w:hAnsi="Times New Roman" w:cs="Times New Roman"/>
          <w:sz w:val="20"/>
          <w:szCs w:val="20"/>
        </w:rPr>
        <w:t xml:space="preserve"> (E.D. Wash. 2016); Port of Portland v. Monsanto Co., </w:t>
      </w:r>
      <w:r w:rsidRPr="00834BAC">
        <w:rPr>
          <w:rStyle w:val="ssnonpaginatedrptr"/>
          <w:rFonts w:ascii="Times New Roman" w:hAnsi="Times New Roman" w:cs="Times New Roman"/>
          <w:sz w:val="20"/>
          <w:szCs w:val="20"/>
        </w:rPr>
        <w:t>2017 WL 4236561</w:t>
      </w:r>
      <w:r w:rsidRPr="00834BAC">
        <w:rPr>
          <w:rFonts w:ascii="Times New Roman" w:hAnsi="Times New Roman" w:cs="Times New Roman"/>
          <w:sz w:val="20"/>
          <w:szCs w:val="20"/>
        </w:rPr>
        <w:t xml:space="preserve"> </w:t>
      </w:r>
      <w:r w:rsidRPr="00834BAC">
        <w:rPr>
          <w:rStyle w:val="injectednode"/>
          <w:rFonts w:ascii="Times New Roman" w:hAnsi="Times New Roman" w:cs="Times New Roman"/>
          <w:sz w:val="20"/>
          <w:szCs w:val="20"/>
        </w:rPr>
        <w:t xml:space="preserve">(D. Or. 2017); </w:t>
      </w:r>
      <w:r w:rsidRPr="00834BAC">
        <w:rPr>
          <w:rFonts w:ascii="Times New Roman" w:hAnsi="Times New Roman" w:cs="Times New Roman"/>
          <w:sz w:val="20"/>
          <w:szCs w:val="20"/>
        </w:rPr>
        <w:t xml:space="preserve">City of Portland v. Monsanto Co., </w:t>
      </w:r>
      <w:r w:rsidRPr="00834BAC">
        <w:rPr>
          <w:rStyle w:val="ssnonpaginatedrptr"/>
          <w:rFonts w:ascii="Times New Roman" w:hAnsi="Times New Roman" w:cs="Times New Roman"/>
          <w:sz w:val="20"/>
          <w:szCs w:val="20"/>
        </w:rPr>
        <w:t>2017 WL 4236583</w:t>
      </w:r>
      <w:r w:rsidRPr="00834BAC">
        <w:rPr>
          <w:rFonts w:ascii="Times New Roman" w:hAnsi="Times New Roman" w:cs="Times New Roman"/>
          <w:sz w:val="20"/>
          <w:szCs w:val="20"/>
        </w:rPr>
        <w:t xml:space="preserve"> (D. Or. 2017); City of San Jose v. Monsanto Co., 231 F. Supp. 3d 357 (N.D. Cal. 2017); City of San Diego v. Monsanto Co., </w:t>
      </w:r>
      <w:r w:rsidRPr="00834BAC">
        <w:rPr>
          <w:rStyle w:val="ssnonpaginatedrptr"/>
          <w:rFonts w:ascii="Times New Roman" w:hAnsi="Times New Roman" w:cs="Times New Roman"/>
          <w:sz w:val="20"/>
          <w:szCs w:val="20"/>
        </w:rPr>
        <w:t>2017 WL 5632052</w:t>
      </w:r>
      <w:r w:rsidRPr="00834BAC">
        <w:rPr>
          <w:rFonts w:ascii="Times New Roman" w:hAnsi="Times New Roman" w:cs="Times New Roman"/>
          <w:sz w:val="20"/>
          <w:szCs w:val="20"/>
        </w:rPr>
        <w:t xml:space="preserve"> (S.D. Cal. 2017). </w:t>
      </w:r>
      <w:r w:rsidR="00021E94">
        <w:rPr>
          <w:rFonts w:ascii="Times New Roman" w:hAnsi="Times New Roman" w:cs="Times New Roman"/>
          <w:sz w:val="20"/>
          <w:szCs w:val="20"/>
        </w:rPr>
        <w:t xml:space="preserve"> </w:t>
      </w:r>
      <w:r w:rsidR="00021E94" w:rsidRPr="00021E94">
        <w:rPr>
          <w:rFonts w:ascii="Times New Roman" w:hAnsi="Times New Roman" w:cs="Times New Roman"/>
          <w:sz w:val="20"/>
        </w:rPr>
        <w:t xml:space="preserve">Notably, not all causes of action survive motions to dismiss.  Because the suits are based in state common law, the success of individual claims vary.  </w:t>
      </w:r>
      <w:r w:rsidRPr="00021E94">
        <w:rPr>
          <w:rFonts w:ascii="Times New Roman" w:hAnsi="Times New Roman" w:cs="Times New Roman"/>
          <w:sz w:val="20"/>
          <w:szCs w:val="20"/>
        </w:rPr>
        <w:t xml:space="preserve">  </w:t>
      </w:r>
    </w:p>
  </w:footnote>
  <w:footnote w:id="48">
    <w:p w:rsidR="00401159" w:rsidRPr="00834BAC" w:rsidRDefault="00401159" w:rsidP="00281711">
      <w:pPr>
        <w:rPr>
          <w:rFonts w:ascii="Times New Roman" w:hAnsi="Times New Roman" w:cs="Times New Roman"/>
          <w:sz w:val="20"/>
          <w:szCs w:val="20"/>
        </w:rPr>
      </w:pPr>
      <w:r w:rsidRPr="00834BAC">
        <w:rPr>
          <w:rStyle w:val="FootnoteReference"/>
          <w:rFonts w:ascii="Times New Roman" w:hAnsi="Times New Roman" w:cs="Times New Roman"/>
          <w:sz w:val="20"/>
          <w:szCs w:val="20"/>
        </w:rPr>
        <w:footnoteRef/>
      </w:r>
      <w:r w:rsidRPr="00834BAC">
        <w:rPr>
          <w:rFonts w:ascii="Times New Roman" w:hAnsi="Times New Roman" w:cs="Times New Roman"/>
          <w:sz w:val="20"/>
          <w:szCs w:val="20"/>
        </w:rPr>
        <w:t xml:space="preserve"> </w:t>
      </w:r>
      <w:r w:rsidRPr="00834BAC">
        <w:rPr>
          <w:rFonts w:ascii="Times New Roman" w:hAnsi="Times New Roman" w:cs="Times New Roman"/>
          <w:i/>
          <w:iCs/>
          <w:sz w:val="20"/>
          <w:szCs w:val="20"/>
        </w:rPr>
        <w:t>City of San Jose</w:t>
      </w:r>
      <w:r w:rsidRPr="00834BAC">
        <w:rPr>
          <w:rFonts w:ascii="Times New Roman" w:hAnsi="Times New Roman" w:cs="Times New Roman"/>
          <w:sz w:val="20"/>
          <w:szCs w:val="20"/>
        </w:rPr>
        <w:t>, 231 F. Supp. 3d 357.</w:t>
      </w:r>
    </w:p>
  </w:footnote>
  <w:footnote w:id="49">
    <w:p w:rsidR="00401159" w:rsidRPr="00834BAC" w:rsidRDefault="00401159">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w:t>
      </w:r>
      <w:r w:rsidRPr="00834BAC">
        <w:rPr>
          <w:rFonts w:ascii="Times New Roman" w:hAnsi="Times New Roman" w:cs="Times New Roman"/>
          <w:i/>
          <w:iCs/>
        </w:rPr>
        <w:t>City of Seattle,</w:t>
      </w:r>
      <w:r w:rsidRPr="00834BAC">
        <w:rPr>
          <w:rFonts w:ascii="Times New Roman" w:hAnsi="Times New Roman" w:cs="Times New Roman"/>
        </w:rPr>
        <w:t xml:space="preserve"> 237 F. Supp. 3d 1096.</w:t>
      </w:r>
    </w:p>
  </w:footnote>
  <w:footnote w:id="50">
    <w:p w:rsidR="00401159" w:rsidRPr="00834BAC" w:rsidRDefault="00401159">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State v. Monsanto Co., No. 18CV00540, *18 (Or. Cir. Ct. Jan. 9, 2019).</w:t>
      </w:r>
    </w:p>
  </w:footnote>
  <w:footnote w:id="51">
    <w:p w:rsidR="00401159" w:rsidRPr="00834BAC" w:rsidRDefault="00401159">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In re MTBE Prods. </w:t>
      </w:r>
      <w:proofErr w:type="spellStart"/>
      <w:r w:rsidRPr="00834BAC">
        <w:rPr>
          <w:rFonts w:ascii="Times New Roman" w:hAnsi="Times New Roman" w:cs="Times New Roman"/>
        </w:rPr>
        <w:t>Liab</w:t>
      </w:r>
      <w:proofErr w:type="spellEnd"/>
      <w:r w:rsidRPr="00834BAC">
        <w:rPr>
          <w:rFonts w:ascii="Times New Roman" w:hAnsi="Times New Roman" w:cs="Times New Roman"/>
        </w:rPr>
        <w:t>. Liti</w:t>
      </w:r>
      <w:r w:rsidR="00AC3B8C">
        <w:rPr>
          <w:rFonts w:ascii="Times New Roman" w:hAnsi="Times New Roman" w:cs="Times New Roman"/>
        </w:rPr>
        <w:t>g.</w:t>
      </w:r>
      <w:r w:rsidRPr="00834BAC">
        <w:rPr>
          <w:rFonts w:ascii="Times New Roman" w:hAnsi="Times New Roman" w:cs="Times New Roman"/>
        </w:rPr>
        <w:t>, 725 F.3d 65, 91 (2nd Cir. 2013).</w:t>
      </w:r>
    </w:p>
  </w:footnote>
  <w:footnote w:id="52">
    <w:p w:rsidR="00401159" w:rsidRPr="00834BAC" w:rsidRDefault="00401159" w:rsidP="00B3013B">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w:t>
      </w:r>
      <w:r w:rsidRPr="00834BAC">
        <w:rPr>
          <w:rFonts w:ascii="Times New Roman" w:hAnsi="Times New Roman" w:cs="Times New Roman"/>
          <w:i/>
          <w:iCs/>
        </w:rPr>
        <w:t>But see</w:t>
      </w:r>
      <w:r w:rsidRPr="00834BAC">
        <w:rPr>
          <w:rFonts w:ascii="Times New Roman" w:hAnsi="Times New Roman" w:cs="Times New Roman"/>
        </w:rPr>
        <w:t xml:space="preserve"> Commonwealth of Pennsylvania v. Exxon Mobil Corp., 2015 WL 4469247, 14-15 (S.D.N.Y. 2015) (applying Pennsylvania law that limits public nuisance liability to those who owned or operated the sites where the release of hazardous substances occurred).</w:t>
      </w:r>
    </w:p>
  </w:footnote>
  <w:footnote w:id="53">
    <w:p w:rsidR="00976B1A" w:rsidRPr="00834BAC" w:rsidRDefault="00976B1A" w:rsidP="00976B1A">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w:t>
      </w:r>
      <w:r w:rsidRPr="00834BAC">
        <w:rPr>
          <w:rFonts w:ascii="Times New Roman" w:hAnsi="Times New Roman" w:cs="Times New Roman"/>
          <w:w w:val="111"/>
        </w:rPr>
        <w:t>While statu</w:t>
      </w:r>
      <w:r w:rsidRPr="00834BAC">
        <w:rPr>
          <w:rFonts w:ascii="Times New Roman" w:hAnsi="Times New Roman" w:cs="Times New Roman"/>
          <w:w w:val="120"/>
        </w:rPr>
        <w:t>t</w:t>
      </w:r>
      <w:r w:rsidRPr="00834BAC">
        <w:rPr>
          <w:rFonts w:ascii="Times New Roman" w:hAnsi="Times New Roman" w:cs="Times New Roman"/>
          <w:w w:val="113"/>
        </w:rPr>
        <w:t>or</w:t>
      </w:r>
      <w:r w:rsidRPr="00834BAC">
        <w:rPr>
          <w:rFonts w:ascii="Times New Roman" w:hAnsi="Times New Roman" w:cs="Times New Roman"/>
        </w:rPr>
        <w:t xml:space="preserve">y NRD </w:t>
      </w:r>
      <w:r w:rsidRPr="00834BAC">
        <w:rPr>
          <w:rFonts w:ascii="Times New Roman" w:hAnsi="Times New Roman" w:cs="Times New Roman"/>
          <w:w w:val="110"/>
        </w:rPr>
        <w:t>provisions characteristically include air as a trust asset, they do not extend to CO</w:t>
      </w:r>
      <w:r w:rsidRPr="00834BAC">
        <w:rPr>
          <w:rFonts w:ascii="Times New Roman" w:hAnsi="Times New Roman" w:cs="Times New Roman"/>
          <w:w w:val="110"/>
          <w:vertAlign w:val="subscript"/>
        </w:rPr>
        <w:t>2</w:t>
      </w:r>
      <w:r w:rsidRPr="00834BAC">
        <w:rPr>
          <w:rFonts w:ascii="Times New Roman" w:hAnsi="Times New Roman" w:cs="Times New Roman"/>
          <w:w w:val="110"/>
        </w:rPr>
        <w:t xml:space="preserve"> pollution.</w:t>
      </w:r>
      <w:r>
        <w:rPr>
          <w:rFonts w:ascii="Times New Roman" w:hAnsi="Times New Roman" w:cs="Times New Roman"/>
          <w:w w:val="110"/>
        </w:rPr>
        <w:t xml:space="preserve">  </w:t>
      </w:r>
    </w:p>
  </w:footnote>
  <w:footnote w:id="54">
    <w:p w:rsidR="00401159" w:rsidRPr="00834BAC" w:rsidRDefault="00401159" w:rsidP="00B3013B">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See </w:t>
      </w:r>
      <w:r w:rsidRPr="00834BAC">
        <w:rPr>
          <w:rFonts w:ascii="Times New Roman" w:eastAsia="Times New Roman" w:hAnsi="Times New Roman" w:cs="Times New Roman"/>
        </w:rPr>
        <w:t xml:space="preserve">Cynthia Carlson, </w:t>
      </w:r>
      <w:r w:rsidRPr="00834BAC">
        <w:rPr>
          <w:rFonts w:ascii="Times New Roman" w:eastAsia="Times New Roman" w:hAnsi="Times New Roman" w:cs="Times New Roman"/>
          <w:i/>
          <w:iCs/>
        </w:rPr>
        <w:t>Making CERCLA Natural Resource Damage Regulations Work: The Use of the Public Trust Doctrine and Other State Remedies</w:t>
      </w:r>
      <w:r w:rsidRPr="00834BAC">
        <w:rPr>
          <w:rFonts w:ascii="Times New Roman" w:eastAsia="Times New Roman" w:hAnsi="Times New Roman" w:cs="Times New Roman"/>
        </w:rPr>
        <w:t xml:space="preserve">, 18 </w:t>
      </w:r>
      <w:proofErr w:type="spellStart"/>
      <w:r w:rsidRPr="00834BAC">
        <w:rPr>
          <w:rFonts w:ascii="Times New Roman" w:eastAsia="Times New Roman" w:hAnsi="Times New Roman" w:cs="Times New Roman"/>
        </w:rPr>
        <w:t>Envtl</w:t>
      </w:r>
      <w:proofErr w:type="spellEnd"/>
      <w:r w:rsidRPr="00834BAC">
        <w:rPr>
          <w:rFonts w:ascii="Times New Roman" w:eastAsia="Times New Roman" w:hAnsi="Times New Roman" w:cs="Times New Roman"/>
        </w:rPr>
        <w:t xml:space="preserve">. L. Rep. </w:t>
      </w:r>
      <w:r w:rsidRPr="00834BAC">
        <w:rPr>
          <w:rFonts w:ascii="Times New Roman" w:hAnsi="Times New Roman" w:cs="Times New Roman"/>
        </w:rPr>
        <w:t xml:space="preserve">13303 </w:t>
      </w:r>
      <w:r w:rsidRPr="00834BAC">
        <w:rPr>
          <w:rFonts w:ascii="Times New Roman" w:eastAsia="Times New Roman" w:hAnsi="Times New Roman" w:cs="Times New Roman"/>
        </w:rPr>
        <w:t xml:space="preserve">(1988). </w:t>
      </w:r>
    </w:p>
  </w:footnote>
  <w:footnote w:id="55">
    <w:p w:rsidR="00401159" w:rsidRPr="00834BAC" w:rsidRDefault="00401159" w:rsidP="00B3013B">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w:t>
      </w:r>
      <w:r w:rsidRPr="00834BAC">
        <w:rPr>
          <w:rFonts w:ascii="Times New Roman" w:hAnsi="Times New Roman" w:cs="Times New Roman"/>
          <w:i/>
          <w:iCs/>
        </w:rPr>
        <w:t>Id.</w:t>
      </w:r>
      <w:r w:rsidRPr="00834BAC">
        <w:rPr>
          <w:rFonts w:ascii="Times New Roman" w:hAnsi="Times New Roman" w:cs="Times New Roman"/>
        </w:rPr>
        <w:t xml:space="preserve"> at 10299; </w:t>
      </w:r>
      <w:proofErr w:type="spellStart"/>
      <w:r w:rsidRPr="00834BAC">
        <w:rPr>
          <w:rFonts w:ascii="Times New Roman" w:hAnsi="Times New Roman" w:cs="Times New Roman"/>
        </w:rPr>
        <w:t>Kanner</w:t>
      </w:r>
      <w:proofErr w:type="spellEnd"/>
      <w:r w:rsidRPr="00834BAC">
        <w:rPr>
          <w:rFonts w:ascii="Times New Roman" w:hAnsi="Times New Roman" w:cs="Times New Roman"/>
        </w:rPr>
        <w:t xml:space="preserve">, </w:t>
      </w:r>
      <w:r w:rsidRPr="00834BAC">
        <w:rPr>
          <w:rFonts w:ascii="Times New Roman" w:hAnsi="Times New Roman" w:cs="Times New Roman"/>
          <w:i/>
          <w:iCs/>
        </w:rPr>
        <w:t>supra</w:t>
      </w:r>
      <w:r w:rsidRPr="00834BAC">
        <w:rPr>
          <w:rFonts w:ascii="Times New Roman" w:hAnsi="Times New Roman" w:cs="Times New Roman"/>
        </w:rPr>
        <w:t>, note 3</w:t>
      </w:r>
      <w:r w:rsidR="00AC3B8C">
        <w:rPr>
          <w:rFonts w:ascii="Times New Roman" w:hAnsi="Times New Roman" w:cs="Times New Roman"/>
        </w:rPr>
        <w:t xml:space="preserve">3 </w:t>
      </w:r>
      <w:r w:rsidRPr="00834BAC">
        <w:rPr>
          <w:rFonts w:ascii="Times New Roman" w:hAnsi="Times New Roman" w:cs="Times New Roman"/>
        </w:rPr>
        <w:t>at 58 (common law claims are “immediately available” to recover natural resource damages).</w:t>
      </w:r>
      <w:r w:rsidR="00AC3B8C">
        <w:rPr>
          <w:rFonts w:ascii="Times New Roman" w:hAnsi="Times New Roman" w:cs="Times New Roman"/>
        </w:rPr>
        <w:t xml:space="preserve">  </w:t>
      </w:r>
    </w:p>
  </w:footnote>
  <w:footnote w:id="56">
    <w:p w:rsidR="00401159" w:rsidRPr="00834BAC" w:rsidRDefault="00401159" w:rsidP="00B3013B">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w:t>
      </w:r>
      <w:r w:rsidRPr="00834BAC">
        <w:rPr>
          <w:rFonts w:ascii="Times New Roman" w:hAnsi="Times New Roman" w:cs="Times New Roman"/>
          <w:i/>
          <w:iCs/>
        </w:rPr>
        <w:t>See</w:t>
      </w:r>
      <w:r w:rsidRPr="00FD68B3">
        <w:rPr>
          <w:rFonts w:ascii="Times New Roman" w:hAnsi="Times New Roman" w:cs="Times New Roman"/>
          <w:i/>
          <w:iCs/>
        </w:rPr>
        <w:t xml:space="preserve"> </w:t>
      </w:r>
      <w:r w:rsidR="00FD68B3" w:rsidRPr="00FD68B3">
        <w:rPr>
          <w:rFonts w:ascii="Times New Roman" w:hAnsi="Times New Roman" w:cs="Times New Roman"/>
          <w:i/>
          <w:iCs/>
        </w:rPr>
        <w:t>id.</w:t>
      </w:r>
      <w:r w:rsidRPr="00FD68B3">
        <w:rPr>
          <w:rFonts w:ascii="Times New Roman" w:hAnsi="Times New Roman" w:cs="Times New Roman"/>
          <w:i/>
          <w:iCs/>
        </w:rPr>
        <w:t xml:space="preserve"> </w:t>
      </w:r>
      <w:r w:rsidRPr="00834BAC">
        <w:rPr>
          <w:rFonts w:ascii="Times New Roman" w:hAnsi="Times New Roman" w:cs="Times New Roman"/>
        </w:rPr>
        <w:t xml:space="preserve">at 59 (also suggesting </w:t>
      </w:r>
      <w:proofErr w:type="spellStart"/>
      <w:r w:rsidRPr="00834BAC">
        <w:rPr>
          <w:rFonts w:ascii="Times New Roman" w:hAnsi="Times New Roman" w:cs="Times New Roman"/>
          <w:i/>
          <w:iCs/>
        </w:rPr>
        <w:t>parens</w:t>
      </w:r>
      <w:proofErr w:type="spellEnd"/>
      <w:r w:rsidRPr="00834BAC">
        <w:rPr>
          <w:rFonts w:ascii="Times New Roman" w:hAnsi="Times New Roman" w:cs="Times New Roman"/>
          <w:i/>
          <w:iCs/>
        </w:rPr>
        <w:t xml:space="preserve"> patri</w:t>
      </w:r>
      <w:r w:rsidR="00FD68B3">
        <w:rPr>
          <w:rFonts w:ascii="Times New Roman" w:hAnsi="Times New Roman" w:cs="Times New Roman"/>
          <w:i/>
          <w:iCs/>
        </w:rPr>
        <w:t>ae</w:t>
      </w:r>
      <w:r w:rsidRPr="00834BAC">
        <w:rPr>
          <w:rFonts w:ascii="Times New Roman" w:hAnsi="Times New Roman" w:cs="Times New Roman"/>
        </w:rPr>
        <w:t xml:space="preserve"> doctrine as basis for suits).</w:t>
      </w:r>
    </w:p>
  </w:footnote>
  <w:footnote w:id="57">
    <w:p w:rsidR="00401159" w:rsidRPr="00834BAC" w:rsidRDefault="00401159" w:rsidP="00B3013B">
      <w:pPr>
        <w:rPr>
          <w:rFonts w:ascii="Times New Roman" w:eastAsia="Times New Roman" w:hAnsi="Times New Roman" w:cs="Times New Roman"/>
          <w:sz w:val="20"/>
          <w:szCs w:val="20"/>
        </w:rPr>
      </w:pPr>
      <w:r w:rsidRPr="00834BAC">
        <w:rPr>
          <w:rStyle w:val="FootnoteReference"/>
          <w:rFonts w:ascii="Times New Roman" w:hAnsi="Times New Roman" w:cs="Times New Roman"/>
          <w:sz w:val="20"/>
          <w:szCs w:val="20"/>
        </w:rPr>
        <w:footnoteRef/>
      </w:r>
      <w:r w:rsidRPr="00834BAC">
        <w:rPr>
          <w:rFonts w:ascii="Times New Roman" w:hAnsi="Times New Roman" w:cs="Times New Roman"/>
          <w:sz w:val="20"/>
          <w:szCs w:val="20"/>
        </w:rPr>
        <w:t xml:space="preserve"> William H. Rodgers, </w:t>
      </w:r>
      <w:r w:rsidRPr="00834BAC">
        <w:rPr>
          <w:rFonts w:ascii="Times New Roman" w:hAnsi="Times New Roman" w:cs="Times New Roman"/>
          <w:smallCaps/>
          <w:sz w:val="20"/>
          <w:szCs w:val="20"/>
        </w:rPr>
        <w:t xml:space="preserve">Environmental Law Hornbook </w:t>
      </w:r>
      <w:r w:rsidRPr="00834BAC">
        <w:rPr>
          <w:rFonts w:ascii="Times New Roman" w:hAnsi="Times New Roman" w:cs="Times New Roman"/>
          <w:sz w:val="20"/>
          <w:szCs w:val="20"/>
        </w:rPr>
        <w:t>(1977)</w:t>
      </w:r>
      <w:r w:rsidR="00AC3B8C">
        <w:rPr>
          <w:rFonts w:ascii="Times New Roman" w:hAnsi="Times New Roman" w:cs="Times New Roman"/>
          <w:sz w:val="20"/>
          <w:szCs w:val="20"/>
        </w:rPr>
        <w:t xml:space="preserve">.  </w:t>
      </w:r>
    </w:p>
  </w:footnote>
  <w:footnote w:id="58">
    <w:p w:rsidR="00401159" w:rsidRPr="00834BAC" w:rsidRDefault="00401159" w:rsidP="00B3013B">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w:t>
      </w:r>
      <w:r w:rsidR="00AC3B8C" w:rsidRPr="00834BAC">
        <w:rPr>
          <w:rFonts w:ascii="Times New Roman" w:hAnsi="Times New Roman" w:cs="Times New Roman"/>
          <w:color w:val="000000"/>
        </w:rPr>
        <w:t>Edward H</w:t>
      </w:r>
      <w:r w:rsidR="00AC3B8C">
        <w:rPr>
          <w:rFonts w:ascii="Times New Roman" w:hAnsi="Times New Roman" w:cs="Times New Roman"/>
          <w:color w:val="000000"/>
        </w:rPr>
        <w:t>. P.</w:t>
      </w:r>
      <w:r w:rsidR="00AC3B8C" w:rsidRPr="00834BAC">
        <w:rPr>
          <w:rFonts w:ascii="Times New Roman" w:hAnsi="Times New Roman" w:cs="Times New Roman"/>
          <w:color w:val="000000"/>
        </w:rPr>
        <w:t xml:space="preserve"> Brans, </w:t>
      </w:r>
      <w:r w:rsidR="00AC3B8C" w:rsidRPr="00834BAC">
        <w:rPr>
          <w:rFonts w:ascii="Times New Roman" w:hAnsi="Times New Roman" w:cs="Times New Roman"/>
          <w:iCs/>
          <w:smallCaps/>
          <w:color w:val="000000"/>
        </w:rPr>
        <w:t>Liability for Damage to Public Natural Resources</w:t>
      </w:r>
      <w:r w:rsidR="00AC3B8C" w:rsidRPr="00834BAC">
        <w:rPr>
          <w:rFonts w:ascii="Times New Roman" w:hAnsi="Times New Roman" w:cs="Times New Roman"/>
          <w:color w:val="000000"/>
        </w:rPr>
        <w:t>, 51-5</w:t>
      </w:r>
      <w:r w:rsidR="00AC3B8C">
        <w:rPr>
          <w:rFonts w:ascii="Times New Roman" w:hAnsi="Times New Roman" w:cs="Times New Roman"/>
          <w:color w:val="000000"/>
        </w:rPr>
        <w:t>3</w:t>
      </w:r>
      <w:r w:rsidR="00AC3B8C" w:rsidRPr="00834BAC">
        <w:rPr>
          <w:rFonts w:ascii="Times New Roman" w:hAnsi="Times New Roman" w:cs="Times New Roman"/>
          <w:color w:val="000000"/>
        </w:rPr>
        <w:t xml:space="preserve"> (2001)</w:t>
      </w:r>
      <w:r w:rsidR="00AC3B8C">
        <w:rPr>
          <w:rFonts w:ascii="Times New Roman" w:hAnsi="Times New Roman" w:cs="Times New Roman"/>
          <w:color w:val="000000"/>
        </w:rPr>
        <w:t>.</w:t>
      </w:r>
    </w:p>
  </w:footnote>
  <w:footnote w:id="59">
    <w:p w:rsidR="00401159" w:rsidRPr="00834BAC" w:rsidRDefault="00401159">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w:t>
      </w:r>
      <w:r w:rsidRPr="00834BAC">
        <w:rPr>
          <w:rFonts w:ascii="Times New Roman" w:eastAsia="Times New Roman" w:hAnsi="Times New Roman" w:cs="Times New Roman"/>
          <w:color w:val="000000"/>
        </w:rPr>
        <w:t xml:space="preserve">Some state constitutions and statutes also express the public trust and may be considered for a stand-alone PTD claim.  </w:t>
      </w:r>
    </w:p>
  </w:footnote>
  <w:footnote w:id="60">
    <w:p w:rsidR="00401159" w:rsidRPr="00834BAC" w:rsidRDefault="00401159" w:rsidP="00B3013B">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621 P.2d 764, 820 (</w:t>
      </w:r>
      <w:proofErr w:type="spellStart"/>
      <w:r w:rsidRPr="00834BAC">
        <w:rPr>
          <w:rFonts w:ascii="Times New Roman" w:hAnsi="Times New Roman" w:cs="Times New Roman"/>
        </w:rPr>
        <w:t>Wa</w:t>
      </w:r>
      <w:proofErr w:type="spellEnd"/>
      <w:r w:rsidRPr="00834BAC">
        <w:rPr>
          <w:rFonts w:ascii="Times New Roman" w:hAnsi="Times New Roman" w:cs="Times New Roman"/>
        </w:rPr>
        <w:t>. Ct. App. 1980).</w:t>
      </w:r>
    </w:p>
  </w:footnote>
  <w:footnote w:id="61">
    <w:p w:rsidR="00401159" w:rsidRPr="00834BAC" w:rsidRDefault="00401159" w:rsidP="00B3013B">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495 F. Supp. 38 (E.D. Va. 1980).</w:t>
      </w:r>
    </w:p>
  </w:footnote>
  <w:footnote w:id="62">
    <w:p w:rsidR="00401159" w:rsidRPr="00834BAC" w:rsidRDefault="00401159">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w:t>
      </w:r>
      <w:r w:rsidRPr="00834BAC">
        <w:rPr>
          <w:rFonts w:ascii="Times New Roman" w:hAnsi="Times New Roman" w:cs="Times New Roman"/>
          <w:i/>
          <w:iCs/>
        </w:rPr>
        <w:t>Id.</w:t>
      </w:r>
      <w:r w:rsidRPr="00834BAC">
        <w:rPr>
          <w:rFonts w:ascii="Times New Roman" w:hAnsi="Times New Roman" w:cs="Times New Roman"/>
        </w:rPr>
        <w:t xml:space="preserve"> at 40.</w:t>
      </w:r>
    </w:p>
  </w:footnote>
  <w:footnote w:id="63">
    <w:p w:rsidR="00401159" w:rsidRPr="00834BAC" w:rsidRDefault="00401159" w:rsidP="002D308A">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w:t>
      </w:r>
      <w:r w:rsidRPr="00834BAC">
        <w:rPr>
          <w:rFonts w:ascii="Times New Roman" w:hAnsi="Times New Roman" w:cs="Times New Roman"/>
          <w:i/>
          <w:iCs/>
          <w:color w:val="000000"/>
        </w:rPr>
        <w:t>Md. Dep’t of Nat. Res. v. Amerada Hess Corp.</w:t>
      </w:r>
      <w:r w:rsidRPr="00834BAC">
        <w:rPr>
          <w:rFonts w:ascii="Times New Roman" w:hAnsi="Times New Roman" w:cs="Times New Roman"/>
          <w:color w:val="000000"/>
        </w:rPr>
        <w:t xml:space="preserve">, </w:t>
      </w:r>
      <w:r w:rsidRPr="00834BAC">
        <w:rPr>
          <w:rFonts w:ascii="Times New Roman" w:eastAsia="Times New Roman" w:hAnsi="Times New Roman" w:cs="Times New Roman"/>
          <w:color w:val="000000"/>
        </w:rPr>
        <w:t>350 F. Supp. 1060, 1067 (D. Md. 1972)</w:t>
      </w:r>
      <w:r w:rsidR="00E83B92">
        <w:rPr>
          <w:rFonts w:ascii="Times New Roman" w:eastAsia="Times New Roman" w:hAnsi="Times New Roman" w:cs="Times New Roman"/>
          <w:color w:val="000000"/>
        </w:rPr>
        <w:t>.</w:t>
      </w:r>
    </w:p>
  </w:footnote>
  <w:footnote w:id="64">
    <w:p w:rsidR="00401159" w:rsidRPr="00834BAC" w:rsidRDefault="00401159" w:rsidP="002D308A">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313 N.E.2d 409, 411 (Ohio 1974) (internal citations omitted).</w:t>
      </w:r>
    </w:p>
  </w:footnote>
  <w:footnote w:id="65">
    <w:p w:rsidR="00401159" w:rsidRPr="00834BAC" w:rsidRDefault="00401159">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Pl.’s </w:t>
      </w:r>
      <w:proofErr w:type="spellStart"/>
      <w:r w:rsidRPr="00834BAC">
        <w:rPr>
          <w:rFonts w:ascii="Times New Roman" w:hAnsi="Times New Roman" w:cs="Times New Roman"/>
        </w:rPr>
        <w:t>Compl</w:t>
      </w:r>
      <w:proofErr w:type="spellEnd"/>
      <w:r w:rsidRPr="00834BAC">
        <w:rPr>
          <w:rFonts w:ascii="Times New Roman" w:hAnsi="Times New Roman" w:cs="Times New Roman"/>
        </w:rPr>
        <w:t>., State of Ohio v. Monsanto Co., ¶¶ 160-72 (Mar. 5, 2018).</w:t>
      </w:r>
    </w:p>
  </w:footnote>
  <w:footnote w:id="66">
    <w:p w:rsidR="00401159" w:rsidRPr="00834BAC" w:rsidRDefault="00401159">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State v. Monsanto Co., No. A1801237 (Ohio Ct. Com. Pl. Sept. 19, 2018).</w:t>
      </w:r>
    </w:p>
  </w:footnote>
  <w:footnote w:id="67">
    <w:p w:rsidR="00401159" w:rsidRPr="00834BAC" w:rsidRDefault="00401159">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w:t>
      </w:r>
      <w:r w:rsidRPr="00834BAC">
        <w:rPr>
          <w:rFonts w:ascii="Times New Roman" w:hAnsi="Times New Roman" w:cs="Times New Roman"/>
          <w:i/>
          <w:iCs/>
        </w:rPr>
        <w:t>Rhode Island v. Atl. Richfield</w:t>
      </w:r>
      <w:r w:rsidRPr="00834BAC">
        <w:rPr>
          <w:rFonts w:ascii="Times New Roman" w:hAnsi="Times New Roman" w:cs="Times New Roman"/>
        </w:rPr>
        <w:t>, 357 F. Supp. 3d at 144</w:t>
      </w:r>
      <w:r w:rsidRPr="00834BAC">
        <w:rPr>
          <w:rFonts w:ascii="Times New Roman" w:eastAsia="Times New Roman" w:hAnsi="Times New Roman" w:cs="Times New Roman"/>
          <w:spacing w:val="-6"/>
        </w:rPr>
        <w:t>.</w:t>
      </w:r>
    </w:p>
  </w:footnote>
  <w:footnote w:id="68">
    <w:p w:rsidR="00401159" w:rsidRPr="00834BAC" w:rsidRDefault="00401159">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w:t>
      </w:r>
      <w:r w:rsidRPr="00834BAC">
        <w:rPr>
          <w:rFonts w:ascii="Times New Roman" w:hAnsi="Times New Roman" w:cs="Times New Roman"/>
          <w:i/>
          <w:iCs/>
        </w:rPr>
        <w:t>Id.</w:t>
      </w:r>
      <w:r w:rsidRPr="00834BAC">
        <w:rPr>
          <w:rFonts w:ascii="Times New Roman" w:hAnsi="Times New Roman" w:cs="Times New Roman"/>
        </w:rPr>
        <w:t xml:space="preserve"> at 143-44.</w:t>
      </w:r>
    </w:p>
  </w:footnote>
  <w:footnote w:id="69">
    <w:p w:rsidR="00401159" w:rsidRPr="00C41C59" w:rsidRDefault="00401159" w:rsidP="00C41C59">
      <w:pPr>
        <w:autoSpaceDE w:val="0"/>
        <w:autoSpaceDN w:val="0"/>
        <w:adjustRightInd w:val="0"/>
        <w:rPr>
          <w:rFonts w:ascii="Times New Roman" w:hAnsi="Times New Roman" w:cs="Times New Roman"/>
          <w:sz w:val="20"/>
          <w:szCs w:val="20"/>
        </w:rPr>
      </w:pPr>
      <w:r w:rsidRPr="00401159">
        <w:rPr>
          <w:rStyle w:val="FootnoteReference"/>
          <w:rFonts w:ascii="Times New Roman" w:hAnsi="Times New Roman" w:cs="Times New Roman"/>
          <w:sz w:val="20"/>
          <w:szCs w:val="20"/>
        </w:rPr>
        <w:footnoteRef/>
      </w:r>
      <w:r w:rsidRPr="00401159">
        <w:rPr>
          <w:rFonts w:ascii="Times New Roman" w:hAnsi="Times New Roman" w:cs="Times New Roman"/>
          <w:sz w:val="20"/>
          <w:szCs w:val="20"/>
        </w:rPr>
        <w:t xml:space="preserve"> New Hampshire v. Hess, 161 N.H. 426, 431-32 (2011).  The complaint had asserted </w:t>
      </w:r>
      <w:r w:rsidR="00FD68B3">
        <w:rPr>
          <w:rFonts w:ascii="Times New Roman" w:hAnsi="Times New Roman" w:cs="Times New Roman"/>
          <w:sz w:val="20"/>
          <w:szCs w:val="20"/>
        </w:rPr>
        <w:t xml:space="preserve">a </w:t>
      </w:r>
      <w:r w:rsidR="00FD68B3" w:rsidRPr="00401159">
        <w:rPr>
          <w:rFonts w:ascii="Times New Roman" w:hAnsi="Times New Roman" w:cs="Times New Roman"/>
          <w:sz w:val="20"/>
          <w:szCs w:val="20"/>
        </w:rPr>
        <w:t>property interest</w:t>
      </w:r>
      <w:r w:rsidR="00FD68B3">
        <w:rPr>
          <w:rFonts w:ascii="Times New Roman" w:hAnsi="Times New Roman" w:cs="Times New Roman"/>
          <w:sz w:val="20"/>
          <w:szCs w:val="20"/>
        </w:rPr>
        <w:t>, as trustee,</w:t>
      </w:r>
      <w:r w:rsidR="00FD68B3" w:rsidRPr="00401159">
        <w:rPr>
          <w:rFonts w:ascii="Times New Roman" w:hAnsi="Times New Roman" w:cs="Times New Roman"/>
          <w:sz w:val="20"/>
          <w:szCs w:val="20"/>
        </w:rPr>
        <w:t xml:space="preserve"> over “waters of the state, whether located above or below ground. . . . “ to ground claims in both public nuisance and trespass.  </w:t>
      </w:r>
      <w:r w:rsidRPr="00401159">
        <w:rPr>
          <w:rFonts w:ascii="Times New Roman" w:hAnsi="Times New Roman" w:cs="Times New Roman"/>
          <w:sz w:val="20"/>
          <w:szCs w:val="20"/>
        </w:rPr>
        <w:t xml:space="preserve"> Complaint, New Hampshire v. Hess, Par. 2, </w:t>
      </w:r>
      <w:r w:rsidR="00C41C59" w:rsidRPr="00401159">
        <w:rPr>
          <w:rFonts w:ascii="Times New Roman" w:hAnsi="Times New Roman" w:cs="Times New Roman"/>
          <w:sz w:val="20"/>
          <w:szCs w:val="20"/>
        </w:rPr>
        <w:t>Count III, IV</w:t>
      </w:r>
      <w:r w:rsidRPr="00401159">
        <w:rPr>
          <w:rFonts w:ascii="Times New Roman" w:hAnsi="Times New Roman" w:cs="Times New Roman"/>
          <w:sz w:val="20"/>
          <w:szCs w:val="20"/>
        </w:rPr>
        <w:t xml:space="preserve">, WL 22469979 (2003).  </w:t>
      </w:r>
      <w:r w:rsidRPr="00C41C59">
        <w:rPr>
          <w:rFonts w:ascii="Times New Roman" w:hAnsi="Times New Roman" w:cs="Times New Roman"/>
          <w:i/>
          <w:iCs/>
          <w:sz w:val="20"/>
          <w:szCs w:val="20"/>
        </w:rPr>
        <w:t>See also</w:t>
      </w:r>
      <w:r w:rsidRPr="00401159">
        <w:rPr>
          <w:rFonts w:ascii="Times New Roman" w:hAnsi="Times New Roman" w:cs="Times New Roman"/>
          <w:sz w:val="20"/>
          <w:szCs w:val="20"/>
        </w:rPr>
        <w:t xml:space="preserve"> San Diego Unified Port District v. Monsanto Co., </w:t>
      </w:r>
      <w:proofErr w:type="spellStart"/>
      <w:r w:rsidRPr="00401159">
        <w:rPr>
          <w:rFonts w:ascii="Times New Roman" w:hAnsi="Times New Roman" w:cs="Times New Roman"/>
          <w:sz w:val="20"/>
          <w:szCs w:val="20"/>
        </w:rPr>
        <w:t>S.D.Cal</w:t>
      </w:r>
      <w:proofErr w:type="spellEnd"/>
      <w:r w:rsidRPr="00401159">
        <w:rPr>
          <w:rFonts w:ascii="Times New Roman" w:hAnsi="Times New Roman" w:cs="Times New Roman"/>
          <w:sz w:val="20"/>
          <w:szCs w:val="20"/>
        </w:rPr>
        <w:t xml:space="preserve">. No. 15-cv-578, 2016 WL 5464551, at *11 (Sept. 28, 2016) (finding that </w:t>
      </w:r>
      <w:r w:rsidRPr="00834BAC">
        <w:rPr>
          <w:rFonts w:ascii="Times New Roman" w:hAnsi="Times New Roman" w:cs="Times New Roman"/>
          <w:sz w:val="20"/>
          <w:szCs w:val="20"/>
        </w:rPr>
        <w:t>a</w:t>
      </w:r>
      <w:r w:rsidRPr="00401159">
        <w:rPr>
          <w:rFonts w:ascii="Times New Roman" w:hAnsi="Times New Roman" w:cs="Times New Roman"/>
          <w:sz w:val="20"/>
          <w:szCs w:val="20"/>
        </w:rPr>
        <w:t xml:space="preserve"> Port District</w:t>
      </w:r>
      <w:r w:rsidRPr="00834BAC">
        <w:rPr>
          <w:rFonts w:ascii="Times New Roman" w:hAnsi="Times New Roman" w:cs="Times New Roman"/>
          <w:sz w:val="20"/>
          <w:szCs w:val="20"/>
        </w:rPr>
        <w:t xml:space="preserve"> </w:t>
      </w:r>
      <w:r w:rsidRPr="00401159">
        <w:rPr>
          <w:rFonts w:ascii="Times New Roman" w:hAnsi="Times New Roman" w:cs="Times New Roman"/>
          <w:sz w:val="20"/>
          <w:szCs w:val="20"/>
        </w:rPr>
        <w:t>could maintain action under public trust for "dama</w:t>
      </w:r>
      <w:r w:rsidRPr="00834BAC">
        <w:rPr>
          <w:rFonts w:ascii="Times New Roman" w:hAnsi="Times New Roman" w:cs="Times New Roman"/>
          <w:sz w:val="20"/>
          <w:szCs w:val="20"/>
        </w:rPr>
        <w:t xml:space="preserve">ges </w:t>
      </w:r>
      <w:r w:rsidRPr="00401159">
        <w:rPr>
          <w:rFonts w:ascii="Times New Roman" w:hAnsi="Times New Roman" w:cs="Times New Roman"/>
          <w:sz w:val="20"/>
          <w:szCs w:val="20"/>
        </w:rPr>
        <w:t>for the injury to and loss of use of natural resources deriving from the presence of PCBs in and</w:t>
      </w:r>
      <w:r w:rsidRPr="00834BAC">
        <w:rPr>
          <w:rFonts w:ascii="Times New Roman" w:hAnsi="Times New Roman" w:cs="Times New Roman"/>
          <w:sz w:val="20"/>
          <w:szCs w:val="20"/>
        </w:rPr>
        <w:t xml:space="preserve"> </w:t>
      </w:r>
      <w:r w:rsidRPr="00401159">
        <w:rPr>
          <w:rFonts w:ascii="Times New Roman" w:hAnsi="Times New Roman" w:cs="Times New Roman"/>
          <w:sz w:val="20"/>
          <w:szCs w:val="20"/>
        </w:rPr>
        <w:t>around the Bay, including the cost of restoring those natural resources.") (internal quotation</w:t>
      </w:r>
      <w:r w:rsidR="00C41C59">
        <w:rPr>
          <w:rFonts w:ascii="Times New Roman" w:hAnsi="Times New Roman" w:cs="Times New Roman"/>
          <w:sz w:val="20"/>
          <w:szCs w:val="20"/>
        </w:rPr>
        <w:t xml:space="preserve"> </w:t>
      </w:r>
      <w:r w:rsidRPr="00C41C59">
        <w:rPr>
          <w:rFonts w:ascii="Times New Roman" w:hAnsi="Times New Roman" w:cs="Times New Roman"/>
          <w:sz w:val="20"/>
          <w:szCs w:val="20"/>
        </w:rPr>
        <w:t>omitted).</w:t>
      </w:r>
    </w:p>
  </w:footnote>
  <w:footnote w:id="70">
    <w:p w:rsidR="00E834C8" w:rsidRPr="00834BAC" w:rsidRDefault="00E834C8" w:rsidP="00E834C8">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w:t>
      </w:r>
      <w:r w:rsidRPr="00834BAC">
        <w:rPr>
          <w:rFonts w:ascii="Times New Roman" w:hAnsi="Times New Roman" w:cs="Times New Roman"/>
          <w:i/>
          <w:iCs/>
        </w:rPr>
        <w:t xml:space="preserve">See </w:t>
      </w:r>
      <w:r w:rsidRPr="00834BAC">
        <w:rPr>
          <w:rFonts w:ascii="Times New Roman" w:hAnsi="Times New Roman" w:cs="Times New Roman"/>
        </w:rPr>
        <w:t xml:space="preserve">Pl.’s </w:t>
      </w:r>
      <w:proofErr w:type="spellStart"/>
      <w:r w:rsidRPr="00834BAC">
        <w:rPr>
          <w:rFonts w:ascii="Times New Roman" w:hAnsi="Times New Roman" w:cs="Times New Roman"/>
        </w:rPr>
        <w:t>Compl</w:t>
      </w:r>
      <w:proofErr w:type="spellEnd"/>
      <w:r w:rsidRPr="00834BAC">
        <w:rPr>
          <w:rFonts w:ascii="Times New Roman" w:hAnsi="Times New Roman" w:cs="Times New Roman"/>
        </w:rPr>
        <w:t>., State of Rhode Island v. Chevron Corp., ¶ 302</w:t>
      </w:r>
      <w:r>
        <w:rPr>
          <w:rFonts w:ascii="Times New Roman" w:hAnsi="Times New Roman" w:cs="Times New Roman"/>
        </w:rPr>
        <w:t xml:space="preserve">, </w:t>
      </w:r>
      <w:r w:rsidRPr="00834BAC">
        <w:rPr>
          <w:rFonts w:ascii="Times New Roman" w:hAnsi="Times New Roman" w:cs="Times New Roman"/>
        </w:rPr>
        <w:t>¶ 312 (July 2, 2018</w:t>
      </w:r>
      <w:r w:rsidRPr="00834BAC">
        <w:rPr>
          <w:rFonts w:ascii="Times New Roman" w:hAnsi="Times New Roman" w:cs="Times New Roman"/>
          <w:w w:val="105"/>
        </w:rPr>
        <w:t xml:space="preserve">). </w:t>
      </w:r>
    </w:p>
  </w:footnote>
  <w:footnote w:id="71">
    <w:p w:rsidR="00401159" w:rsidRPr="00834BAC" w:rsidRDefault="00401159">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Rhode Island v. Chevron Corp., 393 F. Supp. 3d 142 (D. R.I. 2019).  </w:t>
      </w:r>
    </w:p>
  </w:footnote>
  <w:footnote w:id="72">
    <w:p w:rsidR="00401159" w:rsidRPr="00401159" w:rsidRDefault="00401159">
      <w:pPr>
        <w:pStyle w:val="FootnoteText"/>
        <w:rPr>
          <w:rFonts w:ascii="Times New Roman" w:hAnsi="Times New Roman" w:cs="Times New Roman"/>
        </w:rPr>
      </w:pPr>
      <w:r w:rsidRPr="00401159">
        <w:rPr>
          <w:rStyle w:val="FootnoteReference"/>
          <w:rFonts w:ascii="Times New Roman" w:hAnsi="Times New Roman" w:cs="Times New Roman"/>
        </w:rPr>
        <w:footnoteRef/>
      </w:r>
      <w:r w:rsidRPr="00401159">
        <w:rPr>
          <w:rFonts w:ascii="Times New Roman" w:hAnsi="Times New Roman" w:cs="Times New Roman"/>
        </w:rPr>
        <w:t xml:space="preserve"> </w:t>
      </w:r>
      <w:r w:rsidRPr="00401159">
        <w:rPr>
          <w:rFonts w:ascii="Times New Roman" w:hAnsi="Times New Roman" w:cs="Times New Roman"/>
          <w:i/>
          <w:iCs/>
        </w:rPr>
        <w:t>See</w:t>
      </w:r>
      <w:r w:rsidRPr="00401159">
        <w:rPr>
          <w:rFonts w:ascii="Times New Roman" w:hAnsi="Times New Roman" w:cs="Times New Roman"/>
        </w:rPr>
        <w:t xml:space="preserve"> </w:t>
      </w:r>
      <w:r w:rsidRPr="00834BAC">
        <w:rPr>
          <w:rFonts w:ascii="Times New Roman" w:hAnsi="Times New Roman" w:cs="Times New Roman"/>
        </w:rPr>
        <w:t xml:space="preserve">Pl.’s </w:t>
      </w:r>
      <w:proofErr w:type="spellStart"/>
      <w:r w:rsidRPr="00834BAC">
        <w:rPr>
          <w:rFonts w:ascii="Times New Roman" w:hAnsi="Times New Roman" w:cs="Times New Roman"/>
        </w:rPr>
        <w:t>Compl</w:t>
      </w:r>
      <w:proofErr w:type="spellEnd"/>
      <w:r w:rsidRPr="00834BAC">
        <w:rPr>
          <w:rFonts w:ascii="Times New Roman" w:hAnsi="Times New Roman" w:cs="Times New Roman"/>
        </w:rPr>
        <w:t xml:space="preserve">, </w:t>
      </w:r>
      <w:r w:rsidRPr="00401159">
        <w:rPr>
          <w:rFonts w:ascii="Times New Roman" w:hAnsi="Times New Roman" w:cs="Times New Roman"/>
          <w:i/>
          <w:iCs/>
        </w:rPr>
        <w:t>supra</w:t>
      </w:r>
      <w:r w:rsidRPr="00834BAC">
        <w:rPr>
          <w:rFonts w:ascii="Times New Roman" w:hAnsi="Times New Roman" w:cs="Times New Roman"/>
        </w:rPr>
        <w:t xml:space="preserve"> note 13, at </w:t>
      </w:r>
      <w:r w:rsidRPr="00401159">
        <w:rPr>
          <w:rFonts w:ascii="Times New Roman" w:hAnsi="Times New Roman" w:cs="Times New Roman"/>
        </w:rPr>
        <w:t>par. 228 (“First Cause of Action: Civil Action for Natural Resource Damages and Restoration “The State, as trustee, may bring a cause of action to recover damages to and restoration of natural resources held in trust by the state.”).</w:t>
      </w:r>
    </w:p>
  </w:footnote>
  <w:footnote w:id="73">
    <w:p w:rsidR="00401159" w:rsidRPr="00834BAC" w:rsidRDefault="00401159" w:rsidP="00B3013B">
      <w:pPr>
        <w:rPr>
          <w:rFonts w:ascii="Times New Roman" w:eastAsia="Times New Roman" w:hAnsi="Times New Roman" w:cs="Times New Roman"/>
          <w:sz w:val="20"/>
          <w:szCs w:val="20"/>
        </w:rPr>
      </w:pPr>
      <w:r w:rsidRPr="00834BAC">
        <w:rPr>
          <w:rStyle w:val="FootnoteReference"/>
          <w:rFonts w:ascii="Times New Roman" w:eastAsia="Times New Roman" w:hAnsi="Times New Roman" w:cs="Times New Roman"/>
          <w:sz w:val="20"/>
          <w:szCs w:val="20"/>
        </w:rPr>
        <w:footnoteRef/>
      </w:r>
      <w:r w:rsidRPr="00834BAC">
        <w:rPr>
          <w:rFonts w:ascii="Times New Roman" w:eastAsia="Times New Roman" w:hAnsi="Times New Roman" w:cs="Times New Roman"/>
          <w:sz w:val="20"/>
          <w:szCs w:val="20"/>
        </w:rPr>
        <w:t xml:space="preserve"> </w:t>
      </w:r>
      <w:r w:rsidRPr="00834BAC">
        <w:rPr>
          <w:rFonts w:ascii="Times New Roman" w:eastAsia="Times New Roman" w:hAnsi="Times New Roman" w:cs="Times New Roman"/>
          <w:i/>
          <w:iCs/>
          <w:sz w:val="20"/>
          <w:szCs w:val="20"/>
        </w:rPr>
        <w:t xml:space="preserve">See </w:t>
      </w:r>
      <w:r w:rsidRPr="00834BAC">
        <w:rPr>
          <w:rFonts w:ascii="Times New Roman" w:hAnsi="Times New Roman" w:cs="Times New Roman"/>
          <w:sz w:val="20"/>
          <w:szCs w:val="20"/>
        </w:rPr>
        <w:t>Carlson,</w:t>
      </w:r>
      <w:r w:rsidRPr="00834BAC">
        <w:rPr>
          <w:rFonts w:ascii="Times New Roman" w:hAnsi="Times New Roman" w:cs="Times New Roman"/>
          <w:i/>
          <w:iCs/>
          <w:sz w:val="20"/>
          <w:szCs w:val="20"/>
        </w:rPr>
        <w:t xml:space="preserve"> supra</w:t>
      </w:r>
      <w:r w:rsidRPr="00834BAC">
        <w:rPr>
          <w:rFonts w:ascii="Times New Roman" w:hAnsi="Times New Roman" w:cs="Times New Roman"/>
          <w:sz w:val="20"/>
          <w:szCs w:val="20"/>
        </w:rPr>
        <w:t>, note 5</w:t>
      </w:r>
      <w:r w:rsidR="00BA0133">
        <w:rPr>
          <w:rFonts w:ascii="Times New Roman" w:hAnsi="Times New Roman" w:cs="Times New Roman"/>
          <w:sz w:val="20"/>
          <w:szCs w:val="20"/>
        </w:rPr>
        <w:t>4</w:t>
      </w:r>
      <w:r w:rsidRPr="00834BAC">
        <w:rPr>
          <w:rFonts w:ascii="Times New Roman" w:hAnsi="Times New Roman" w:cs="Times New Roman"/>
          <w:sz w:val="20"/>
          <w:szCs w:val="20"/>
        </w:rPr>
        <w:t xml:space="preserve"> at 10299 n. 41 </w:t>
      </w:r>
      <w:r w:rsidR="00BA0133">
        <w:rPr>
          <w:rFonts w:ascii="Times New Roman" w:eastAsia="Times New Roman" w:hAnsi="Times New Roman" w:cs="Times New Roman"/>
          <w:sz w:val="20"/>
          <w:szCs w:val="20"/>
        </w:rPr>
        <w:t>(citation omitted).</w:t>
      </w:r>
      <w:r w:rsidRPr="00834BAC">
        <w:rPr>
          <w:rFonts w:ascii="Times New Roman" w:eastAsia="Times New Roman" w:hAnsi="Times New Roman" w:cs="Times New Roman"/>
          <w:sz w:val="20"/>
          <w:szCs w:val="20"/>
        </w:rPr>
        <w:t xml:space="preserve">   </w:t>
      </w:r>
      <w:r w:rsidR="00C3654D">
        <w:rPr>
          <w:rFonts w:ascii="Times New Roman" w:eastAsia="Times New Roman" w:hAnsi="Times New Roman" w:cs="Times New Roman"/>
          <w:sz w:val="20"/>
          <w:szCs w:val="20"/>
        </w:rPr>
        <w:t xml:space="preserve">  </w:t>
      </w:r>
    </w:p>
  </w:footnote>
  <w:footnote w:id="74">
    <w:p w:rsidR="00401159" w:rsidRPr="00834BAC" w:rsidRDefault="00401159" w:rsidP="00B3013B">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w:t>
      </w:r>
      <w:r w:rsidRPr="00834BAC">
        <w:rPr>
          <w:rFonts w:ascii="Times New Roman" w:hAnsi="Times New Roman" w:cs="Times New Roman"/>
          <w:i/>
          <w:iCs/>
        </w:rPr>
        <w:t>Id</w:t>
      </w:r>
      <w:r w:rsidRPr="00834BAC">
        <w:rPr>
          <w:rFonts w:ascii="Times New Roman" w:hAnsi="Times New Roman" w:cs="Times New Roman"/>
        </w:rPr>
        <w:t>;</w:t>
      </w:r>
      <w:r w:rsidRPr="00834BAC">
        <w:rPr>
          <w:rFonts w:ascii="Times New Roman" w:hAnsi="Times New Roman" w:cs="Times New Roman"/>
          <w:i/>
          <w:iCs/>
        </w:rPr>
        <w:t xml:space="preserve"> see </w:t>
      </w:r>
      <w:r w:rsidRPr="00834BAC">
        <w:rPr>
          <w:rFonts w:ascii="Times New Roman" w:hAnsi="Times New Roman" w:cs="Times New Roman"/>
        </w:rPr>
        <w:t xml:space="preserve">State v. Purdue Pharma, No. CJ-2017-816, 22-23 (Okla. Dist. Ct. Aug. 26, 2019) (slip op) (upholding public nuisance claim against drug manufacturer). </w:t>
      </w:r>
    </w:p>
  </w:footnote>
  <w:footnote w:id="75">
    <w:p w:rsidR="00401159" w:rsidRPr="00834BAC" w:rsidRDefault="00401159">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w:t>
      </w:r>
      <w:r w:rsidRPr="00834BAC">
        <w:rPr>
          <w:rFonts w:ascii="Times New Roman" w:hAnsi="Times New Roman" w:cs="Times New Roman"/>
          <w:color w:val="000000"/>
          <w:shd w:val="clear" w:color="auto" w:fill="FFFFFF"/>
        </w:rPr>
        <w:t xml:space="preserve">Notably, the second-generation climate liability cases do not present this hybrid public trust/public nuisance claim, as they seek compensation for </w:t>
      </w:r>
      <w:r w:rsidR="00C3654D">
        <w:rPr>
          <w:rFonts w:ascii="Times New Roman" w:hAnsi="Times New Roman" w:cs="Times New Roman"/>
          <w:color w:val="000000"/>
          <w:shd w:val="clear" w:color="auto" w:fill="FFFFFF"/>
        </w:rPr>
        <w:t>repairing or building</w:t>
      </w:r>
      <w:r w:rsidRPr="00834BAC">
        <w:rPr>
          <w:rFonts w:ascii="Times New Roman" w:hAnsi="Times New Roman" w:cs="Times New Roman"/>
          <w:color w:val="000000"/>
          <w:shd w:val="clear" w:color="auto" w:fill="FFFFFF"/>
        </w:rPr>
        <w:t xml:space="preserve"> infrastructure</w:t>
      </w:r>
      <w:r w:rsidR="00C3654D">
        <w:rPr>
          <w:rFonts w:ascii="Times New Roman" w:hAnsi="Times New Roman" w:cs="Times New Roman"/>
          <w:color w:val="000000"/>
          <w:shd w:val="clear" w:color="auto" w:fill="FFFFFF"/>
        </w:rPr>
        <w:t>, not public trust property</w:t>
      </w:r>
      <w:r w:rsidRPr="00834BAC">
        <w:rPr>
          <w:rFonts w:ascii="Times New Roman" w:hAnsi="Times New Roman" w:cs="Times New Roman"/>
          <w:color w:val="000000"/>
          <w:shd w:val="clear" w:color="auto" w:fill="FFFFFF"/>
        </w:rPr>
        <w:t xml:space="preserve">. </w:t>
      </w:r>
      <w:r w:rsidRPr="00834BAC">
        <w:rPr>
          <w:rFonts w:ascii="Times New Roman" w:eastAsia="Times New Roman" w:hAnsi="Times New Roman" w:cs="Times New Roman"/>
        </w:rPr>
        <w:t xml:space="preserve">The one exception is </w:t>
      </w:r>
      <w:r w:rsidR="00C3654D">
        <w:rPr>
          <w:rFonts w:ascii="Times New Roman" w:eastAsia="Times New Roman" w:hAnsi="Times New Roman" w:cs="Times New Roman"/>
        </w:rPr>
        <w:t>the</w:t>
      </w:r>
      <w:r w:rsidRPr="00834BAC">
        <w:rPr>
          <w:rFonts w:ascii="Times New Roman" w:eastAsia="Times New Roman" w:hAnsi="Times New Roman" w:cs="Times New Roman"/>
        </w:rPr>
        <w:t xml:space="preserve"> State of Rhode Island </w:t>
      </w:r>
      <w:r w:rsidR="00C3654D">
        <w:rPr>
          <w:rFonts w:ascii="Times New Roman" w:eastAsia="Times New Roman" w:hAnsi="Times New Roman" w:cs="Times New Roman"/>
        </w:rPr>
        <w:t xml:space="preserve">case </w:t>
      </w:r>
      <w:r w:rsidRPr="00834BAC">
        <w:rPr>
          <w:rFonts w:ascii="Times New Roman" w:eastAsia="Times New Roman" w:hAnsi="Times New Roman" w:cs="Times New Roman"/>
        </w:rPr>
        <w:t xml:space="preserve">against carbon majors asserting one </w:t>
      </w:r>
      <w:r w:rsidR="00C3654D">
        <w:rPr>
          <w:rFonts w:ascii="Times New Roman" w:eastAsia="Times New Roman" w:hAnsi="Times New Roman" w:cs="Times New Roman"/>
        </w:rPr>
        <w:t xml:space="preserve">public trust </w:t>
      </w:r>
      <w:r w:rsidRPr="00834BAC">
        <w:rPr>
          <w:rFonts w:ascii="Times New Roman" w:eastAsia="Times New Roman" w:hAnsi="Times New Roman" w:cs="Times New Roman"/>
        </w:rPr>
        <w:t xml:space="preserve">claim </w:t>
      </w:r>
      <w:r w:rsidR="00C3654D">
        <w:rPr>
          <w:rFonts w:ascii="Times New Roman" w:eastAsia="Times New Roman" w:hAnsi="Times New Roman" w:cs="Times New Roman"/>
        </w:rPr>
        <w:t xml:space="preserve">but </w:t>
      </w:r>
      <w:r w:rsidRPr="00834BAC">
        <w:rPr>
          <w:rFonts w:ascii="Times New Roman" w:eastAsia="Times New Roman" w:hAnsi="Times New Roman" w:cs="Times New Roman"/>
        </w:rPr>
        <w:t xml:space="preserve">without specifically </w:t>
      </w:r>
      <w:r w:rsidR="00370327">
        <w:rPr>
          <w:rFonts w:ascii="Times New Roman" w:eastAsia="Times New Roman" w:hAnsi="Times New Roman" w:cs="Times New Roman"/>
        </w:rPr>
        <w:t>seeking</w:t>
      </w:r>
      <w:r w:rsidRPr="00834BAC">
        <w:rPr>
          <w:rFonts w:ascii="Times New Roman" w:eastAsia="Times New Roman" w:hAnsi="Times New Roman" w:cs="Times New Roman"/>
        </w:rPr>
        <w:t xml:space="preserve"> NRDs to fund restoration. </w:t>
      </w:r>
      <w:r w:rsidR="00BA0133" w:rsidRPr="00BA0133">
        <w:rPr>
          <w:rFonts w:ascii="Times New Roman" w:eastAsia="Times New Roman" w:hAnsi="Times New Roman" w:cs="Times New Roman"/>
          <w:i/>
          <w:iCs/>
        </w:rPr>
        <w:t>See supra</w:t>
      </w:r>
      <w:r w:rsidR="00BA0133">
        <w:rPr>
          <w:rFonts w:ascii="Times New Roman" w:eastAsia="Times New Roman" w:hAnsi="Times New Roman" w:cs="Times New Roman"/>
        </w:rPr>
        <w:t xml:space="preserve"> note 70</w:t>
      </w:r>
      <w:r w:rsidRPr="00834BAC">
        <w:rPr>
          <w:rFonts w:ascii="Times New Roman" w:eastAsia="Times New Roman" w:hAnsi="Times New Roman" w:cs="Times New Roman"/>
        </w:rPr>
        <w:t>.</w:t>
      </w:r>
    </w:p>
  </w:footnote>
  <w:footnote w:id="76">
    <w:p w:rsidR="00401159" w:rsidRPr="00834BAC" w:rsidRDefault="00401159">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Some cases or claims have been dismissed or have received adverse rulings on other grounds not relevant to this discussion.</w:t>
      </w:r>
    </w:p>
  </w:footnote>
  <w:footnote w:id="77">
    <w:p w:rsidR="00401159" w:rsidRPr="00834BAC" w:rsidRDefault="00401159" w:rsidP="00B3013B">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State v. Monsanto Co., No. 18CV00540, 13-14 (Or. Cir. Ct. Jan. 9, 2019).</w:t>
      </w:r>
    </w:p>
  </w:footnote>
  <w:footnote w:id="78">
    <w:p w:rsidR="00401159" w:rsidRPr="00834BAC" w:rsidRDefault="00401159">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City of Seattle, 237 F. Supp. 3d </w:t>
      </w:r>
      <w:r w:rsidR="00370327">
        <w:rPr>
          <w:rFonts w:ascii="Times New Roman" w:hAnsi="Times New Roman" w:cs="Times New Roman"/>
        </w:rPr>
        <w:t xml:space="preserve">at </w:t>
      </w:r>
      <w:r w:rsidRPr="00834BAC">
        <w:rPr>
          <w:rFonts w:ascii="Times New Roman" w:hAnsi="Times New Roman" w:cs="Times New Roman"/>
        </w:rPr>
        <w:t>1107 (W.D. Wash. 2017).</w:t>
      </w:r>
    </w:p>
  </w:footnote>
  <w:footnote w:id="79">
    <w:p w:rsidR="00401159" w:rsidRPr="00834BAC" w:rsidRDefault="00401159" w:rsidP="00B3013B">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w:t>
      </w:r>
      <w:r w:rsidRPr="00834BAC">
        <w:rPr>
          <w:rFonts w:ascii="Times New Roman" w:hAnsi="Times New Roman" w:cs="Times New Roman"/>
          <w:i/>
          <w:iCs/>
        </w:rPr>
        <w:t>Id.</w:t>
      </w:r>
      <w:r w:rsidRPr="00834BAC">
        <w:rPr>
          <w:rFonts w:ascii="Times New Roman" w:hAnsi="Times New Roman" w:cs="Times New Roman"/>
        </w:rPr>
        <w:t xml:space="preserve"> at 1104.  The analysis involved questions of standing, statute of limitations, and causation.</w:t>
      </w:r>
    </w:p>
  </w:footnote>
  <w:footnote w:id="80">
    <w:p w:rsidR="00401159" w:rsidRPr="00834BAC" w:rsidRDefault="00401159" w:rsidP="00B3013B">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Pl.’s </w:t>
      </w:r>
      <w:proofErr w:type="spellStart"/>
      <w:r w:rsidRPr="00834BAC">
        <w:rPr>
          <w:rFonts w:ascii="Times New Roman" w:hAnsi="Times New Roman" w:cs="Times New Roman"/>
        </w:rPr>
        <w:t>Compl</w:t>
      </w:r>
      <w:proofErr w:type="spellEnd"/>
      <w:r w:rsidRPr="00834BAC">
        <w:rPr>
          <w:rFonts w:ascii="Times New Roman" w:hAnsi="Times New Roman" w:cs="Times New Roman"/>
        </w:rPr>
        <w:t>., State of Washington v. Monsanto, ¶ 97 (Dec. 6, 2016).</w:t>
      </w:r>
    </w:p>
  </w:footnote>
  <w:footnote w:id="81">
    <w:p w:rsidR="00401159" w:rsidRPr="00834BAC" w:rsidRDefault="00401159" w:rsidP="00B3013B">
      <w:pPr>
        <w:rPr>
          <w:rFonts w:ascii="Times New Roman" w:eastAsia="Times New Roman" w:hAnsi="Times New Roman" w:cs="Times New Roman"/>
          <w:sz w:val="20"/>
          <w:szCs w:val="20"/>
        </w:rPr>
      </w:pPr>
      <w:r w:rsidRPr="00834BAC">
        <w:rPr>
          <w:rStyle w:val="FootnoteReference"/>
          <w:rFonts w:ascii="Times New Roman" w:eastAsia="Times New Roman" w:hAnsi="Times New Roman" w:cs="Times New Roman"/>
          <w:sz w:val="20"/>
          <w:szCs w:val="20"/>
        </w:rPr>
        <w:footnoteRef/>
      </w:r>
      <w:r w:rsidRPr="00834BAC">
        <w:rPr>
          <w:rFonts w:ascii="Times New Roman" w:eastAsia="Times New Roman" w:hAnsi="Times New Roman" w:cs="Times New Roman"/>
          <w:sz w:val="20"/>
          <w:szCs w:val="20"/>
        </w:rPr>
        <w:t xml:space="preserve"> </w:t>
      </w:r>
      <w:r w:rsidRPr="00834BAC">
        <w:rPr>
          <w:rFonts w:ascii="Times New Roman" w:eastAsia="Times New Roman" w:hAnsi="Times New Roman" w:cs="Times New Roman"/>
          <w:i/>
          <w:iCs/>
          <w:sz w:val="20"/>
          <w:szCs w:val="20"/>
        </w:rPr>
        <w:t>Rhode Island v. Atl. Richfield Co.</w:t>
      </w:r>
      <w:r w:rsidRPr="00834BAC">
        <w:rPr>
          <w:rFonts w:ascii="Times New Roman" w:eastAsia="Times New Roman" w:hAnsi="Times New Roman" w:cs="Times New Roman"/>
          <w:sz w:val="20"/>
          <w:szCs w:val="20"/>
        </w:rPr>
        <w:t xml:space="preserve">, </w:t>
      </w:r>
      <w:r w:rsidRPr="00834BAC">
        <w:rPr>
          <w:rStyle w:val="citation"/>
          <w:rFonts w:ascii="Times New Roman" w:eastAsia="Times New Roman" w:hAnsi="Times New Roman" w:cs="Times New Roman"/>
          <w:sz w:val="20"/>
          <w:szCs w:val="20"/>
        </w:rPr>
        <w:t>357 F. Supp. 3d at 142.</w:t>
      </w:r>
    </w:p>
  </w:footnote>
  <w:footnote w:id="82">
    <w:p w:rsidR="00401159" w:rsidRPr="00834BAC" w:rsidRDefault="00401159" w:rsidP="00B3013B">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Commonwealth of Pennsylvania v. Exxon Mobil Corp., 2015 WL 4469247, 14-15 (S.D.N.Y. 2015).</w:t>
      </w:r>
    </w:p>
  </w:footnote>
  <w:footnote w:id="83">
    <w:p w:rsidR="00401159" w:rsidRPr="00834BAC" w:rsidRDefault="00401159" w:rsidP="00B3013B">
      <w:pPr>
        <w:autoSpaceDE w:val="0"/>
        <w:autoSpaceDN w:val="0"/>
        <w:adjustRightInd w:val="0"/>
        <w:rPr>
          <w:rFonts w:ascii="Times New Roman" w:hAnsi="Times New Roman" w:cs="Times New Roman"/>
          <w:sz w:val="20"/>
          <w:szCs w:val="20"/>
        </w:rPr>
      </w:pPr>
      <w:r w:rsidRPr="00834BAC">
        <w:rPr>
          <w:rStyle w:val="FootnoteReference"/>
          <w:rFonts w:ascii="Times New Roman" w:hAnsi="Times New Roman" w:cs="Times New Roman"/>
          <w:sz w:val="20"/>
          <w:szCs w:val="20"/>
        </w:rPr>
        <w:footnoteRef/>
      </w:r>
      <w:r w:rsidRPr="00834BAC">
        <w:rPr>
          <w:rFonts w:ascii="Times New Roman" w:hAnsi="Times New Roman" w:cs="Times New Roman"/>
          <w:sz w:val="20"/>
          <w:szCs w:val="20"/>
        </w:rPr>
        <w:t xml:space="preserve"> In re MTBE Prods. </w:t>
      </w:r>
      <w:proofErr w:type="spellStart"/>
      <w:r w:rsidRPr="00834BAC">
        <w:rPr>
          <w:rFonts w:ascii="Times New Roman" w:hAnsi="Times New Roman" w:cs="Times New Roman"/>
          <w:sz w:val="20"/>
          <w:szCs w:val="20"/>
        </w:rPr>
        <w:t>Liab</w:t>
      </w:r>
      <w:proofErr w:type="spellEnd"/>
      <w:r w:rsidRPr="00834BAC">
        <w:rPr>
          <w:rFonts w:ascii="Times New Roman" w:hAnsi="Times New Roman" w:cs="Times New Roman"/>
          <w:sz w:val="20"/>
          <w:szCs w:val="20"/>
        </w:rPr>
        <w:t xml:space="preserve">. Litig., 725 F.3d at 91 (listing tort causes of action on which plaintiff prevailed, including negligence, trespass, public nuisance, and failure to warn).  </w:t>
      </w:r>
    </w:p>
  </w:footnote>
  <w:footnote w:id="84">
    <w:p w:rsidR="00401159" w:rsidRPr="00834BAC" w:rsidRDefault="00401159" w:rsidP="00B3013B">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Brian J. Clark, </w:t>
      </w:r>
      <w:r w:rsidRPr="00834BAC">
        <w:rPr>
          <w:rFonts w:ascii="Times New Roman" w:hAnsi="Times New Roman" w:cs="Times New Roman"/>
          <w:i/>
          <w:iCs/>
        </w:rPr>
        <w:t>Articles &amp; Advisories: MTBE Litigation Update: South Tahoe and Beyond</w:t>
      </w:r>
      <w:r w:rsidRPr="00834BAC">
        <w:rPr>
          <w:rFonts w:ascii="Times New Roman" w:hAnsi="Times New Roman" w:cs="Times New Roman"/>
        </w:rPr>
        <w:t>, Buchanan Ingersoll &amp; Rooney, PC (April 5, 2011)</w:t>
      </w:r>
      <w:r w:rsidR="00FA20C2">
        <w:rPr>
          <w:rFonts w:ascii="Times New Roman" w:hAnsi="Times New Roman" w:cs="Times New Roman"/>
        </w:rPr>
        <w:t>.</w:t>
      </w:r>
    </w:p>
  </w:footnote>
  <w:footnote w:id="85">
    <w:p w:rsidR="00401159" w:rsidRPr="00834BAC" w:rsidRDefault="00401159" w:rsidP="00C6471B">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w:t>
      </w:r>
      <w:r w:rsidRPr="00834BAC">
        <w:rPr>
          <w:rFonts w:ascii="Times New Roman" w:hAnsi="Times New Roman" w:cs="Times New Roman"/>
          <w:i/>
          <w:iCs/>
        </w:rPr>
        <w:t>See</w:t>
      </w:r>
      <w:r w:rsidRPr="00834BAC">
        <w:rPr>
          <w:rFonts w:ascii="Times New Roman" w:hAnsi="Times New Roman" w:cs="Times New Roman"/>
        </w:rPr>
        <w:t xml:space="preserve"> Pl.’s </w:t>
      </w:r>
      <w:proofErr w:type="spellStart"/>
      <w:r w:rsidRPr="00834BAC">
        <w:rPr>
          <w:rFonts w:ascii="Times New Roman" w:hAnsi="Times New Roman" w:cs="Times New Roman"/>
        </w:rPr>
        <w:t>Compl</w:t>
      </w:r>
      <w:proofErr w:type="spellEnd"/>
      <w:r w:rsidRPr="00834BAC">
        <w:rPr>
          <w:rFonts w:ascii="Times New Roman" w:hAnsi="Times New Roman" w:cs="Times New Roman"/>
        </w:rPr>
        <w:t xml:space="preserve">., State of Maryland v. Exxon Mobil Corp., No. 1:18-cv-00459, ¶ 350 (D. Md. Dec. 13, 2017); </w:t>
      </w:r>
      <w:r w:rsidRPr="00834BAC">
        <w:rPr>
          <w:rFonts w:ascii="Times New Roman" w:hAnsi="Times New Roman" w:cs="Times New Roman"/>
          <w:i/>
          <w:iCs/>
        </w:rPr>
        <w:t>see also id.</w:t>
      </w:r>
      <w:r w:rsidRPr="00834BAC">
        <w:rPr>
          <w:rFonts w:ascii="Times New Roman" w:hAnsi="Times New Roman" w:cs="Times New Roman"/>
        </w:rPr>
        <w:t xml:space="preserve"> ¶ 20 (“The state has a . . . natural-resource-trustee interest in protecting the waters of the state from contamination. . . .”).</w:t>
      </w:r>
    </w:p>
  </w:footnote>
  <w:footnote w:id="86">
    <w:p w:rsidR="00770FC3" w:rsidRPr="00735DDB" w:rsidRDefault="00770FC3" w:rsidP="00C6471B">
      <w:pPr>
        <w:pStyle w:val="NormalWeb"/>
        <w:rPr>
          <w:sz w:val="20"/>
          <w:szCs w:val="20"/>
        </w:rPr>
      </w:pPr>
      <w:r w:rsidRPr="00735DDB">
        <w:rPr>
          <w:rStyle w:val="FootnoteReference"/>
          <w:sz w:val="20"/>
          <w:szCs w:val="20"/>
        </w:rPr>
        <w:footnoteRef/>
      </w:r>
      <w:r w:rsidRPr="00735DDB">
        <w:rPr>
          <w:sz w:val="20"/>
          <w:szCs w:val="20"/>
        </w:rPr>
        <w:t xml:space="preserve"> </w:t>
      </w:r>
      <w:r w:rsidRPr="00735DDB">
        <w:rPr>
          <w:i/>
          <w:iCs/>
          <w:sz w:val="20"/>
          <w:szCs w:val="20"/>
        </w:rPr>
        <w:t xml:space="preserve">Department of Environmental Protection v. </w:t>
      </w:r>
      <w:proofErr w:type="spellStart"/>
      <w:r w:rsidRPr="00735DDB">
        <w:rPr>
          <w:i/>
          <w:iCs/>
          <w:sz w:val="20"/>
          <w:szCs w:val="20"/>
        </w:rPr>
        <w:t>Deull</w:t>
      </w:r>
      <w:proofErr w:type="spellEnd"/>
      <w:r w:rsidRPr="00735DDB">
        <w:rPr>
          <w:i/>
          <w:iCs/>
          <w:sz w:val="20"/>
          <w:szCs w:val="20"/>
        </w:rPr>
        <w:t xml:space="preserve"> Fuel</w:t>
      </w:r>
      <w:r w:rsidRPr="00735DDB">
        <w:rPr>
          <w:sz w:val="20"/>
          <w:szCs w:val="20"/>
        </w:rPr>
        <w:t>, no. aTl-l-1839-18 (</w:t>
      </w:r>
      <w:r w:rsidR="00735DDB" w:rsidRPr="00735DDB">
        <w:rPr>
          <w:sz w:val="20"/>
          <w:szCs w:val="20"/>
        </w:rPr>
        <w:t>N</w:t>
      </w:r>
      <w:r w:rsidRPr="00735DDB">
        <w:rPr>
          <w:sz w:val="20"/>
          <w:szCs w:val="20"/>
        </w:rPr>
        <w:t xml:space="preserve">.J. </w:t>
      </w:r>
      <w:r w:rsidR="00735DDB" w:rsidRPr="00735DDB">
        <w:rPr>
          <w:sz w:val="20"/>
          <w:szCs w:val="20"/>
        </w:rPr>
        <w:t>S</w:t>
      </w:r>
      <w:r w:rsidRPr="00735DDB">
        <w:rPr>
          <w:sz w:val="20"/>
          <w:szCs w:val="20"/>
        </w:rPr>
        <w:t xml:space="preserve">uper. Ct. </w:t>
      </w:r>
      <w:r w:rsidR="00735DDB" w:rsidRPr="00735DDB">
        <w:rPr>
          <w:sz w:val="20"/>
          <w:szCs w:val="20"/>
        </w:rPr>
        <w:t>L</w:t>
      </w:r>
      <w:r w:rsidRPr="00735DDB">
        <w:rPr>
          <w:sz w:val="20"/>
          <w:szCs w:val="20"/>
        </w:rPr>
        <w:t xml:space="preserve">aw </w:t>
      </w:r>
      <w:r w:rsidR="00735DDB" w:rsidRPr="00735DDB">
        <w:rPr>
          <w:sz w:val="20"/>
          <w:szCs w:val="20"/>
        </w:rPr>
        <w:t>D</w:t>
      </w:r>
      <w:r w:rsidRPr="00735DDB">
        <w:rPr>
          <w:sz w:val="20"/>
          <w:szCs w:val="20"/>
        </w:rPr>
        <w:t xml:space="preserve">iv. </w:t>
      </w:r>
      <w:r w:rsidR="00735DDB" w:rsidRPr="00735DDB">
        <w:rPr>
          <w:sz w:val="20"/>
          <w:szCs w:val="20"/>
        </w:rPr>
        <w:t>A</w:t>
      </w:r>
      <w:r w:rsidRPr="00735DDB">
        <w:rPr>
          <w:sz w:val="20"/>
          <w:szCs w:val="20"/>
        </w:rPr>
        <w:t xml:space="preserve">ug. 8, 2019); </w:t>
      </w:r>
      <w:r w:rsidRPr="00735DDB">
        <w:rPr>
          <w:i/>
          <w:iCs/>
          <w:sz w:val="20"/>
          <w:szCs w:val="20"/>
        </w:rPr>
        <w:t>but see</w:t>
      </w:r>
      <w:r w:rsidRPr="00735DDB">
        <w:rPr>
          <w:sz w:val="20"/>
          <w:szCs w:val="20"/>
        </w:rPr>
        <w:t xml:space="preserve"> </w:t>
      </w:r>
      <w:r w:rsidRPr="00735DDB">
        <w:rPr>
          <w:i/>
          <w:iCs/>
          <w:sz w:val="20"/>
          <w:szCs w:val="20"/>
        </w:rPr>
        <w:t xml:space="preserve">New Jersey Department of Environmental Protection v. Hess, </w:t>
      </w:r>
      <w:r w:rsidRPr="00735DDB">
        <w:rPr>
          <w:sz w:val="20"/>
          <w:szCs w:val="20"/>
        </w:rPr>
        <w:t>Mid-l- 4579-18 (</w:t>
      </w:r>
      <w:r w:rsidR="00735DDB" w:rsidRPr="00735DDB">
        <w:rPr>
          <w:sz w:val="20"/>
          <w:szCs w:val="20"/>
        </w:rPr>
        <w:t>N</w:t>
      </w:r>
      <w:r w:rsidRPr="00735DDB">
        <w:rPr>
          <w:sz w:val="20"/>
          <w:szCs w:val="20"/>
        </w:rPr>
        <w:t xml:space="preserve">.J. </w:t>
      </w:r>
      <w:r w:rsidR="00735DDB" w:rsidRPr="00735DDB">
        <w:rPr>
          <w:sz w:val="20"/>
          <w:szCs w:val="20"/>
        </w:rPr>
        <w:t>S</w:t>
      </w:r>
      <w:r w:rsidRPr="00735DDB">
        <w:rPr>
          <w:sz w:val="20"/>
          <w:szCs w:val="20"/>
        </w:rPr>
        <w:t xml:space="preserve">uper. Ct. law </w:t>
      </w:r>
      <w:r w:rsidR="00735DDB" w:rsidRPr="00735DDB">
        <w:rPr>
          <w:sz w:val="20"/>
          <w:szCs w:val="20"/>
        </w:rPr>
        <w:t>D</w:t>
      </w:r>
      <w:r w:rsidRPr="00735DDB">
        <w:rPr>
          <w:sz w:val="20"/>
          <w:szCs w:val="20"/>
        </w:rPr>
        <w:t xml:space="preserve">iv. </w:t>
      </w:r>
      <w:r w:rsidR="00735DDB" w:rsidRPr="00735DDB">
        <w:rPr>
          <w:sz w:val="20"/>
          <w:szCs w:val="20"/>
        </w:rPr>
        <w:t>D</w:t>
      </w:r>
      <w:r w:rsidRPr="00735DDB">
        <w:rPr>
          <w:sz w:val="20"/>
          <w:szCs w:val="20"/>
        </w:rPr>
        <w:t xml:space="preserve">ec. 21, 2018) (dismissing state’s trespass claim for lack of exclusive possession). </w:t>
      </w:r>
    </w:p>
  </w:footnote>
  <w:footnote w:id="87">
    <w:p w:rsidR="00401159" w:rsidRPr="00834BAC" w:rsidRDefault="00401159" w:rsidP="00B3013B">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In re Methyl Tertiary Butyl Ether (“MTBE”) Prods. </w:t>
      </w:r>
      <w:proofErr w:type="spellStart"/>
      <w:r w:rsidRPr="00834BAC">
        <w:rPr>
          <w:rFonts w:ascii="Times New Roman" w:hAnsi="Times New Roman" w:cs="Times New Roman"/>
        </w:rPr>
        <w:t>Liab</w:t>
      </w:r>
      <w:proofErr w:type="spellEnd"/>
      <w:r w:rsidRPr="00834BAC">
        <w:rPr>
          <w:rFonts w:ascii="Times New Roman" w:hAnsi="Times New Roman" w:cs="Times New Roman"/>
        </w:rPr>
        <w:t>. Litig., 162 F. Supp. 3d 247 (S.D.N.Y. 2015) (dismissing trespass, unfair marketing, and public nuisance claims).</w:t>
      </w:r>
    </w:p>
  </w:footnote>
  <w:footnote w:id="88">
    <w:p w:rsidR="00401159" w:rsidRPr="00834BAC" w:rsidRDefault="00401159" w:rsidP="00B3013B">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Though the State of Rhode Island included a stand-alone PTD claim in its complaint, it failed to assert any relief specifically tied to damage of public trust assets. </w:t>
      </w:r>
    </w:p>
  </w:footnote>
  <w:footnote w:id="89">
    <w:p w:rsidR="00401159" w:rsidRPr="00834BAC" w:rsidRDefault="00401159" w:rsidP="00B3013B">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w:t>
      </w:r>
      <w:r w:rsidRPr="00834BAC">
        <w:rPr>
          <w:rFonts w:ascii="Times New Roman" w:hAnsi="Times New Roman" w:cs="Times New Roman"/>
          <w:w w:val="110"/>
        </w:rPr>
        <w:t xml:space="preserve"> </w:t>
      </w:r>
      <w:r w:rsidRPr="00834BAC">
        <w:rPr>
          <w:rFonts w:ascii="Times New Roman" w:hAnsi="Times New Roman" w:cs="Times New Roman"/>
          <w:w w:val="105"/>
        </w:rPr>
        <w:t>A significant</w:t>
      </w:r>
      <w:r w:rsidRPr="00834BAC">
        <w:rPr>
          <w:rFonts w:ascii="Times New Roman" w:hAnsi="Times New Roman" w:cs="Times New Roman"/>
          <w:spacing w:val="22"/>
          <w:w w:val="105"/>
        </w:rPr>
        <w:t xml:space="preserve"> </w:t>
      </w:r>
      <w:r w:rsidRPr="00834BAC">
        <w:rPr>
          <w:rFonts w:ascii="Times New Roman" w:hAnsi="Times New Roman" w:cs="Times New Roman"/>
          <w:w w:val="105"/>
        </w:rPr>
        <w:t>share of CO</w:t>
      </w:r>
      <w:r w:rsidRPr="00834BAC">
        <w:rPr>
          <w:rFonts w:ascii="Times New Roman" w:hAnsi="Times New Roman" w:cs="Times New Roman"/>
          <w:w w:val="105"/>
          <w:vertAlign w:val="subscript"/>
        </w:rPr>
        <w:t>2</w:t>
      </w:r>
      <w:r w:rsidRPr="00834BAC">
        <w:rPr>
          <w:rFonts w:ascii="Times New Roman" w:hAnsi="Times New Roman" w:cs="Times New Roman"/>
        </w:rPr>
        <w:t xml:space="preserve"> </w:t>
      </w:r>
      <w:r w:rsidRPr="00834BAC">
        <w:rPr>
          <w:rFonts w:ascii="Times New Roman" w:hAnsi="Times New Roman" w:cs="Times New Roman"/>
          <w:w w:val="105"/>
        </w:rPr>
        <w:t>emissions remain</w:t>
      </w:r>
      <w:r w:rsidR="00B15510">
        <w:rPr>
          <w:rFonts w:ascii="Times New Roman" w:hAnsi="Times New Roman" w:cs="Times New Roman"/>
          <w:w w:val="105"/>
        </w:rPr>
        <w:t>s</w:t>
      </w:r>
      <w:r w:rsidRPr="00834BAC">
        <w:rPr>
          <w:rFonts w:ascii="Times New Roman" w:hAnsi="Times New Roman" w:cs="Times New Roman"/>
          <w:w w:val="105"/>
        </w:rPr>
        <w:t xml:space="preserve"> in the atmosphere for centuries, even though a portion is also relatively quickly absorbed by terrestrial systems and the ocean.</w:t>
      </w:r>
    </w:p>
  </w:footnote>
  <w:footnote w:id="90">
    <w:p w:rsidR="00401159" w:rsidRPr="00834BAC" w:rsidRDefault="00401159" w:rsidP="00B3013B">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231 F. Supp. 3d 357, 364 (N.D. Cal. 2017) (citation omitted).</w:t>
      </w:r>
    </w:p>
  </w:footnote>
  <w:footnote w:id="91">
    <w:p w:rsidR="00401159" w:rsidRPr="00834BAC" w:rsidRDefault="00401159" w:rsidP="00B3013B">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w:t>
      </w:r>
      <w:r w:rsidRPr="00834BAC">
        <w:rPr>
          <w:rFonts w:ascii="Times New Roman" w:hAnsi="Times New Roman" w:cs="Times New Roman"/>
          <w:i/>
          <w:iCs/>
        </w:rPr>
        <w:t>Id.</w:t>
      </w:r>
    </w:p>
  </w:footnote>
  <w:footnote w:id="92">
    <w:p w:rsidR="00B15510" w:rsidRDefault="00B15510">
      <w:pPr>
        <w:pStyle w:val="FootnoteText"/>
      </w:pPr>
      <w:r>
        <w:rPr>
          <w:rStyle w:val="FootnoteReference"/>
        </w:rPr>
        <w:footnoteRef/>
      </w:r>
      <w:r>
        <w:t xml:space="preserve"> </w:t>
      </w:r>
      <w:r w:rsidRPr="00834BAC">
        <w:rPr>
          <w:rFonts w:ascii="Times New Roman" w:hAnsi="Times New Roman" w:cs="Times New Roman"/>
        </w:rPr>
        <w:t>State v. Monsanto Co., No. 18CV00540, *1</w:t>
      </w:r>
      <w:r w:rsidR="0087712E">
        <w:rPr>
          <w:rFonts w:ascii="Times New Roman" w:hAnsi="Times New Roman" w:cs="Times New Roman"/>
        </w:rPr>
        <w:t>4</w:t>
      </w:r>
      <w:r w:rsidRPr="00834BAC">
        <w:rPr>
          <w:rFonts w:ascii="Times New Roman" w:hAnsi="Times New Roman" w:cs="Times New Roman"/>
        </w:rPr>
        <w:t xml:space="preserve"> (Or. Cir. Ct. Jan. 9, 2019).</w:t>
      </w:r>
    </w:p>
  </w:footnote>
  <w:footnote w:id="93">
    <w:p w:rsidR="00401159" w:rsidRPr="00834BAC" w:rsidRDefault="00401159" w:rsidP="002A1593">
      <w:pPr>
        <w:rPr>
          <w:rFonts w:ascii="Times New Roman" w:hAnsi="Times New Roman" w:cs="Times New Roman"/>
          <w:sz w:val="20"/>
          <w:szCs w:val="20"/>
        </w:rPr>
      </w:pPr>
      <w:r w:rsidRPr="00834BAC">
        <w:rPr>
          <w:rStyle w:val="FootnoteReference"/>
          <w:rFonts w:ascii="Times New Roman" w:eastAsia="Times New Roman" w:hAnsi="Times New Roman" w:cs="Times New Roman"/>
          <w:sz w:val="20"/>
          <w:szCs w:val="20"/>
        </w:rPr>
        <w:footnoteRef/>
      </w:r>
      <w:r w:rsidRPr="00834BAC">
        <w:rPr>
          <w:rFonts w:ascii="Times New Roman" w:eastAsia="Times New Roman" w:hAnsi="Times New Roman" w:cs="Times New Roman"/>
          <w:sz w:val="20"/>
          <w:szCs w:val="20"/>
        </w:rPr>
        <w:t xml:space="preserve"> </w:t>
      </w:r>
      <w:r w:rsidRPr="002F55CB">
        <w:rPr>
          <w:rFonts w:ascii="Times New Roman" w:eastAsia="Times New Roman" w:hAnsi="Times New Roman" w:cs="Times New Roman"/>
          <w:sz w:val="20"/>
          <w:szCs w:val="20"/>
        </w:rPr>
        <w:t>City of Seattle v. Monsanto Co.,</w:t>
      </w:r>
      <w:r w:rsidRPr="00834BAC">
        <w:rPr>
          <w:rFonts w:ascii="Times New Roman" w:eastAsia="Times New Roman" w:hAnsi="Times New Roman" w:cs="Times New Roman"/>
          <w:i/>
          <w:iCs/>
          <w:sz w:val="20"/>
          <w:szCs w:val="20"/>
        </w:rPr>
        <w:t xml:space="preserve"> </w:t>
      </w:r>
      <w:r w:rsidRPr="00834BAC">
        <w:rPr>
          <w:rFonts w:ascii="Times New Roman" w:hAnsi="Times New Roman" w:cs="Times New Roman"/>
          <w:sz w:val="20"/>
          <w:szCs w:val="20"/>
        </w:rPr>
        <w:t xml:space="preserve">237 F. Supp. 3d 1096, 1107 (W. D. Wash. 2017) </w:t>
      </w:r>
      <w:r w:rsidRPr="00834BAC">
        <w:rPr>
          <w:rFonts w:ascii="Times New Roman" w:eastAsia="Times New Roman" w:hAnsi="Times New Roman" w:cs="Times New Roman"/>
          <w:sz w:val="20"/>
          <w:szCs w:val="20"/>
        </w:rPr>
        <w:t xml:space="preserve">(noting Seattle’s allegation that “PCBs foreseeably leached into Seattle’s waterways </w:t>
      </w:r>
      <w:r w:rsidRPr="00834BAC">
        <w:rPr>
          <w:rFonts w:ascii="Times New Roman" w:eastAsia="Times New Roman" w:hAnsi="Times New Roman" w:cs="Times New Roman"/>
          <w:i/>
          <w:sz w:val="20"/>
          <w:szCs w:val="20"/>
        </w:rPr>
        <w:t>through the routine use of PCB products</w:t>
      </w:r>
      <w:r w:rsidRPr="00834BAC">
        <w:rPr>
          <w:rFonts w:ascii="Times New Roman" w:eastAsia="Times New Roman" w:hAnsi="Times New Roman" w:cs="Times New Roman"/>
          <w:sz w:val="20"/>
          <w:szCs w:val="20"/>
        </w:rPr>
        <w:t>”).</w:t>
      </w:r>
    </w:p>
  </w:footnote>
  <w:footnote w:id="94">
    <w:p w:rsidR="00925639" w:rsidRDefault="00925639">
      <w:pPr>
        <w:pStyle w:val="FootnoteText"/>
      </w:pPr>
      <w:r>
        <w:rPr>
          <w:rStyle w:val="FootnoteReference"/>
        </w:rPr>
        <w:footnoteRef/>
      </w:r>
      <w:r>
        <w:t xml:space="preserve"> </w:t>
      </w:r>
      <w:r w:rsidR="00301AA0" w:rsidRPr="00834BAC">
        <w:rPr>
          <w:rFonts w:ascii="Times New Roman" w:hAnsi="Times New Roman" w:cs="Times New Roman"/>
        </w:rPr>
        <w:t>State v. Monsanto Co., No. A1801237, 5-6 (Ohio Ct. Com. Pl. Sept. 19, 2018).</w:t>
      </w:r>
    </w:p>
  </w:footnote>
  <w:footnote w:id="95">
    <w:p w:rsidR="00401159" w:rsidRPr="00834BAC" w:rsidRDefault="00401159" w:rsidP="00B3013B">
      <w:pPr>
        <w:widowControl w:val="0"/>
        <w:tabs>
          <w:tab w:val="left" w:pos="1520"/>
        </w:tabs>
        <w:rPr>
          <w:rFonts w:ascii="Times New Roman" w:eastAsia="Times New Roman" w:hAnsi="Times New Roman" w:cs="Times New Roman"/>
          <w:sz w:val="20"/>
          <w:szCs w:val="20"/>
        </w:rPr>
      </w:pPr>
      <w:r w:rsidRPr="00834BAC">
        <w:rPr>
          <w:rStyle w:val="FootnoteReference"/>
          <w:rFonts w:ascii="Times New Roman" w:eastAsia="Times New Roman" w:hAnsi="Times New Roman" w:cs="Times New Roman"/>
          <w:sz w:val="20"/>
          <w:szCs w:val="20"/>
        </w:rPr>
        <w:footnoteRef/>
      </w:r>
      <w:r w:rsidRPr="00834BAC">
        <w:rPr>
          <w:rFonts w:ascii="Times New Roman" w:eastAsia="Times New Roman" w:hAnsi="Times New Roman" w:cs="Times New Roman"/>
          <w:sz w:val="20"/>
          <w:szCs w:val="20"/>
        </w:rPr>
        <w:t xml:space="preserve"> Craig N. Johnston, et al., </w:t>
      </w:r>
      <w:r w:rsidRPr="00834BAC">
        <w:rPr>
          <w:rFonts w:ascii="Times New Roman" w:eastAsia="Times New Roman" w:hAnsi="Times New Roman" w:cs="Times New Roman"/>
          <w:smallCaps/>
          <w:w w:val="110"/>
          <w:sz w:val="20"/>
          <w:szCs w:val="20"/>
        </w:rPr>
        <w:t>Legal Protection of the Environment</w:t>
      </w:r>
      <w:r w:rsidRPr="00834BAC">
        <w:rPr>
          <w:rFonts w:ascii="Times New Roman" w:eastAsia="Times New Roman" w:hAnsi="Times New Roman" w:cs="Times New Roman"/>
          <w:w w:val="110"/>
          <w:sz w:val="20"/>
          <w:szCs w:val="20"/>
        </w:rPr>
        <w:t xml:space="preserve"> </w:t>
      </w:r>
      <w:r w:rsidRPr="00834BAC">
        <w:rPr>
          <w:rFonts w:ascii="Times New Roman" w:eastAsia="Times New Roman" w:hAnsi="Times New Roman" w:cs="Times New Roman"/>
          <w:w w:val="105"/>
          <w:sz w:val="20"/>
          <w:szCs w:val="20"/>
        </w:rPr>
        <w:t>563 (3d ed. 2010).</w:t>
      </w:r>
    </w:p>
  </w:footnote>
  <w:footnote w:id="96">
    <w:p w:rsidR="00401159" w:rsidRPr="00834BAC" w:rsidRDefault="00401159" w:rsidP="00B3013B">
      <w:pPr>
        <w:rPr>
          <w:rFonts w:ascii="Times New Roman" w:eastAsia="Times New Roman" w:hAnsi="Times New Roman" w:cs="Times New Roman"/>
          <w:sz w:val="20"/>
          <w:szCs w:val="20"/>
        </w:rPr>
      </w:pPr>
      <w:r w:rsidRPr="00834BAC">
        <w:rPr>
          <w:rStyle w:val="FootnoteReference"/>
          <w:rFonts w:ascii="Times New Roman" w:eastAsia="Times New Roman" w:hAnsi="Times New Roman" w:cs="Times New Roman"/>
          <w:sz w:val="20"/>
          <w:szCs w:val="20"/>
        </w:rPr>
        <w:footnoteRef/>
      </w:r>
      <w:r w:rsidRPr="00834BAC">
        <w:rPr>
          <w:rFonts w:ascii="Times New Roman" w:eastAsia="Times New Roman" w:hAnsi="Times New Roman" w:cs="Times New Roman"/>
          <w:sz w:val="20"/>
          <w:szCs w:val="20"/>
        </w:rPr>
        <w:t xml:space="preserve"> </w:t>
      </w:r>
      <w:r w:rsidRPr="00834BAC">
        <w:rPr>
          <w:rFonts w:ascii="Times New Roman" w:eastAsia="Times New Roman" w:hAnsi="Times New Roman" w:cs="Times New Roman"/>
          <w:w w:val="105"/>
          <w:sz w:val="20"/>
          <w:szCs w:val="20"/>
        </w:rPr>
        <w:t>725</w:t>
      </w:r>
      <w:r w:rsidRPr="00834BAC">
        <w:rPr>
          <w:rFonts w:ascii="Times New Roman" w:eastAsia="Times New Roman" w:hAnsi="Times New Roman" w:cs="Times New Roman"/>
          <w:spacing w:val="5"/>
          <w:w w:val="105"/>
          <w:sz w:val="20"/>
          <w:szCs w:val="20"/>
        </w:rPr>
        <w:t xml:space="preserve"> </w:t>
      </w:r>
      <w:r w:rsidRPr="00834BAC">
        <w:rPr>
          <w:rFonts w:ascii="Times New Roman" w:eastAsia="Times New Roman" w:hAnsi="Times New Roman" w:cs="Times New Roman"/>
          <w:w w:val="105"/>
          <w:sz w:val="20"/>
          <w:szCs w:val="20"/>
        </w:rPr>
        <w:t>F.3d</w:t>
      </w:r>
      <w:r w:rsidRPr="00834BAC">
        <w:rPr>
          <w:rFonts w:ascii="Times New Roman" w:eastAsia="Times New Roman" w:hAnsi="Times New Roman" w:cs="Times New Roman"/>
          <w:spacing w:val="4"/>
          <w:w w:val="105"/>
          <w:sz w:val="20"/>
          <w:szCs w:val="20"/>
        </w:rPr>
        <w:t xml:space="preserve"> </w:t>
      </w:r>
      <w:r w:rsidRPr="00834BAC">
        <w:rPr>
          <w:rFonts w:ascii="Times New Roman" w:eastAsia="Times New Roman" w:hAnsi="Times New Roman" w:cs="Times New Roman"/>
          <w:w w:val="105"/>
          <w:sz w:val="20"/>
          <w:szCs w:val="20"/>
        </w:rPr>
        <w:t>65,</w:t>
      </w:r>
      <w:r w:rsidRPr="00834BAC">
        <w:rPr>
          <w:rFonts w:ascii="Times New Roman" w:eastAsia="Times New Roman" w:hAnsi="Times New Roman" w:cs="Times New Roman"/>
          <w:spacing w:val="3"/>
          <w:w w:val="105"/>
          <w:sz w:val="20"/>
          <w:szCs w:val="20"/>
        </w:rPr>
        <w:t xml:space="preserve"> </w:t>
      </w:r>
      <w:r w:rsidRPr="00834BAC">
        <w:rPr>
          <w:rFonts w:ascii="Times New Roman" w:eastAsia="Times New Roman" w:hAnsi="Times New Roman" w:cs="Times New Roman"/>
          <w:w w:val="105"/>
          <w:sz w:val="20"/>
          <w:szCs w:val="20"/>
        </w:rPr>
        <w:t>116</w:t>
      </w:r>
      <w:r w:rsidRPr="00834BAC">
        <w:rPr>
          <w:rFonts w:ascii="Times New Roman" w:eastAsia="Times New Roman" w:hAnsi="Times New Roman" w:cs="Times New Roman"/>
          <w:spacing w:val="4"/>
          <w:w w:val="105"/>
          <w:sz w:val="20"/>
          <w:szCs w:val="20"/>
        </w:rPr>
        <w:t xml:space="preserve"> </w:t>
      </w:r>
      <w:r w:rsidRPr="00834BAC">
        <w:rPr>
          <w:rFonts w:ascii="Times New Roman" w:eastAsia="Times New Roman" w:hAnsi="Times New Roman" w:cs="Times New Roman"/>
          <w:w w:val="105"/>
          <w:sz w:val="20"/>
          <w:szCs w:val="20"/>
        </w:rPr>
        <w:t>(2d</w:t>
      </w:r>
      <w:r w:rsidRPr="00834BAC">
        <w:rPr>
          <w:rFonts w:ascii="Times New Roman" w:eastAsia="Times New Roman" w:hAnsi="Times New Roman" w:cs="Times New Roman"/>
          <w:spacing w:val="5"/>
          <w:w w:val="105"/>
          <w:sz w:val="20"/>
          <w:szCs w:val="20"/>
        </w:rPr>
        <w:t xml:space="preserve"> </w:t>
      </w:r>
      <w:r w:rsidRPr="00834BAC">
        <w:rPr>
          <w:rFonts w:ascii="Times New Roman" w:eastAsia="Times New Roman" w:hAnsi="Times New Roman" w:cs="Times New Roman"/>
          <w:w w:val="105"/>
          <w:sz w:val="20"/>
          <w:szCs w:val="20"/>
        </w:rPr>
        <w:t>Cir.</w:t>
      </w:r>
      <w:r w:rsidRPr="00834BAC">
        <w:rPr>
          <w:rFonts w:ascii="Times New Roman" w:eastAsia="Times New Roman" w:hAnsi="Times New Roman" w:cs="Times New Roman"/>
          <w:spacing w:val="3"/>
          <w:w w:val="105"/>
          <w:sz w:val="20"/>
          <w:szCs w:val="20"/>
        </w:rPr>
        <w:t xml:space="preserve"> </w:t>
      </w:r>
      <w:r w:rsidRPr="00834BAC">
        <w:rPr>
          <w:rFonts w:ascii="Times New Roman" w:eastAsia="Times New Roman" w:hAnsi="Times New Roman" w:cs="Times New Roman"/>
          <w:w w:val="105"/>
          <w:sz w:val="20"/>
          <w:szCs w:val="20"/>
        </w:rPr>
        <w:t>2013) (internal quotations omitted)</w:t>
      </w:r>
      <w:r w:rsidR="002F55CB">
        <w:rPr>
          <w:rFonts w:ascii="Times New Roman" w:eastAsia="Times New Roman" w:hAnsi="Times New Roman" w:cs="Times New Roman"/>
          <w:spacing w:val="4"/>
          <w:w w:val="105"/>
          <w:sz w:val="20"/>
          <w:szCs w:val="20"/>
        </w:rPr>
        <w:t>.</w:t>
      </w:r>
    </w:p>
  </w:footnote>
  <w:footnote w:id="97">
    <w:p w:rsidR="00401159" w:rsidRPr="00834BAC" w:rsidRDefault="00401159" w:rsidP="00B3013B">
      <w:pPr>
        <w:pStyle w:val="Heading2"/>
        <w:spacing w:before="0"/>
        <w:rPr>
          <w:rFonts w:ascii="Times New Roman" w:eastAsia="Times New Roman" w:hAnsi="Times New Roman" w:cs="Times New Roman"/>
          <w:color w:val="auto"/>
          <w:sz w:val="20"/>
          <w:szCs w:val="20"/>
        </w:rPr>
      </w:pPr>
      <w:r w:rsidRPr="00834BAC">
        <w:rPr>
          <w:rStyle w:val="FootnoteReference"/>
          <w:rFonts w:ascii="Times New Roman" w:hAnsi="Times New Roman" w:cs="Times New Roman"/>
          <w:color w:val="auto"/>
          <w:sz w:val="20"/>
          <w:szCs w:val="20"/>
        </w:rPr>
        <w:footnoteRef/>
      </w:r>
      <w:r w:rsidRPr="00834BAC">
        <w:rPr>
          <w:rFonts w:ascii="Times New Roman" w:hAnsi="Times New Roman" w:cs="Times New Roman"/>
          <w:color w:val="auto"/>
          <w:sz w:val="20"/>
          <w:szCs w:val="20"/>
        </w:rPr>
        <w:t xml:space="preserve"> Rhode Island v. Atl. Richfield Co., 357 F. Supp. 3d 129, 137 (D. R.I.) (“when some volume of MTBE is found in the environment, chemical tests attempting to trace it back to its source always will be in vain. . . . Turtles all the way up, as far as the state can tell</w:t>
      </w:r>
      <w:r w:rsidR="002F55CB">
        <w:rPr>
          <w:rFonts w:ascii="Times New Roman" w:hAnsi="Times New Roman" w:cs="Times New Roman"/>
          <w:color w:val="auto"/>
          <w:sz w:val="20"/>
          <w:szCs w:val="20"/>
        </w:rPr>
        <w:t>.</w:t>
      </w:r>
      <w:r w:rsidRPr="00834BAC">
        <w:rPr>
          <w:rFonts w:ascii="Times New Roman" w:hAnsi="Times New Roman" w:cs="Times New Roman"/>
          <w:color w:val="auto"/>
          <w:sz w:val="20"/>
          <w:szCs w:val="20"/>
        </w:rPr>
        <w:t>”) (citations to complaint omitted).</w:t>
      </w:r>
    </w:p>
  </w:footnote>
  <w:footnote w:id="98">
    <w:p w:rsidR="00401159" w:rsidRPr="00834BAC" w:rsidRDefault="00401159" w:rsidP="00B3013B">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w:t>
      </w:r>
      <w:r w:rsidRPr="00834BAC">
        <w:rPr>
          <w:rFonts w:ascii="Times New Roman" w:hAnsi="Times New Roman" w:cs="Times New Roman"/>
          <w:i/>
          <w:iCs/>
          <w:w w:val="105"/>
        </w:rPr>
        <w:t>Id.</w:t>
      </w:r>
      <w:r w:rsidRPr="00834BAC">
        <w:rPr>
          <w:rFonts w:ascii="Times New Roman" w:hAnsi="Times New Roman" w:cs="Times New Roman"/>
          <w:w w:val="105"/>
        </w:rPr>
        <w:t xml:space="preserve"> (quoting State v. </w:t>
      </w:r>
      <w:r w:rsidRPr="00834BAC">
        <w:rPr>
          <w:rFonts w:ascii="Times New Roman" w:eastAsia="Times New Roman" w:hAnsi="Times New Roman" w:cs="Times New Roman"/>
        </w:rPr>
        <w:t xml:space="preserve">Exxon Mobil Corp., 126 A.3d 266, 297–98 (N.H. 2015)).  </w:t>
      </w:r>
    </w:p>
  </w:footnote>
  <w:footnote w:id="99">
    <w:p w:rsidR="00401159" w:rsidRPr="00834BAC" w:rsidRDefault="00401159">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For the EPA’s description of the CERCLA liability scheme, see </w:t>
      </w:r>
      <w:r w:rsidRPr="00834BAC">
        <w:rPr>
          <w:rFonts w:ascii="Times New Roman" w:hAnsi="Times New Roman" w:cs="Times New Roman"/>
          <w:smallCaps/>
        </w:rPr>
        <w:t>EPA: Superfund Liability</w:t>
      </w:r>
      <w:r w:rsidRPr="00834BAC">
        <w:rPr>
          <w:rFonts w:ascii="Times New Roman" w:hAnsi="Times New Roman" w:cs="Times New Roman"/>
        </w:rPr>
        <w:t>, available at https://www.epa.gov/enforcement/superfund-liability.</w:t>
      </w:r>
    </w:p>
  </w:footnote>
  <w:footnote w:id="100">
    <w:p w:rsidR="00401159" w:rsidRPr="00834BAC" w:rsidRDefault="00401159" w:rsidP="00B3013B">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w:t>
      </w:r>
      <w:r w:rsidRPr="00834BAC">
        <w:rPr>
          <w:rFonts w:ascii="Times New Roman" w:hAnsi="Times New Roman" w:cs="Times New Roman"/>
          <w:i/>
          <w:iCs/>
        </w:rPr>
        <w:t>Id.</w:t>
      </w:r>
    </w:p>
  </w:footnote>
  <w:footnote w:id="101">
    <w:p w:rsidR="00401159" w:rsidRPr="00834BAC" w:rsidRDefault="00401159">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w:t>
      </w:r>
      <w:r w:rsidRPr="00834BAC">
        <w:rPr>
          <w:rFonts w:ascii="Times New Roman" w:hAnsi="Times New Roman" w:cs="Times New Roman"/>
          <w:i/>
          <w:iCs/>
        </w:rPr>
        <w:t xml:space="preserve">See </w:t>
      </w:r>
      <w:r w:rsidRPr="00834BAC">
        <w:rPr>
          <w:rFonts w:ascii="Times New Roman" w:hAnsi="Times New Roman" w:cs="Times New Roman"/>
        </w:rPr>
        <w:t>Washington v. United States, 922 F. Supp. 421, 424-26 (W.D. Wash. 1996) (discussing apportionment of harm in CERCLA context</w:t>
      </w:r>
      <w:r w:rsidR="002F55CB">
        <w:rPr>
          <w:rFonts w:ascii="Times New Roman" w:hAnsi="Times New Roman" w:cs="Times New Roman"/>
        </w:rPr>
        <w:t>.</w:t>
      </w:r>
    </w:p>
  </w:footnote>
  <w:footnote w:id="102">
    <w:p w:rsidR="00401159" w:rsidRPr="00834BAC" w:rsidRDefault="00401159" w:rsidP="00390E14">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Massachusetts v. EPA, 549 U.S. 497, 517 (2007).</w:t>
      </w:r>
    </w:p>
  </w:footnote>
  <w:footnote w:id="103">
    <w:p w:rsidR="00401159" w:rsidRPr="00834BAC" w:rsidRDefault="00401159" w:rsidP="00390E14">
      <w:pPr>
        <w:widowControl w:val="0"/>
        <w:tabs>
          <w:tab w:val="left" w:pos="1263"/>
          <w:tab w:val="left" w:pos="1264"/>
          <w:tab w:val="left" w:pos="2112"/>
        </w:tabs>
        <w:rPr>
          <w:rFonts w:ascii="Times New Roman" w:hAnsi="Times New Roman" w:cs="Times New Roman"/>
          <w:sz w:val="20"/>
          <w:szCs w:val="20"/>
        </w:rPr>
      </w:pPr>
      <w:r w:rsidRPr="00834BAC">
        <w:rPr>
          <w:rStyle w:val="FootnoteReference"/>
          <w:rFonts w:ascii="Times New Roman" w:hAnsi="Times New Roman" w:cs="Times New Roman"/>
          <w:sz w:val="20"/>
          <w:szCs w:val="20"/>
        </w:rPr>
        <w:footnoteRef/>
      </w:r>
      <w:r w:rsidRPr="00834BAC">
        <w:rPr>
          <w:rFonts w:ascii="Times New Roman" w:hAnsi="Times New Roman" w:cs="Times New Roman"/>
          <w:sz w:val="20"/>
          <w:szCs w:val="20"/>
        </w:rPr>
        <w:t xml:space="preserve"> Characteristic of language in a complaint is Maryland’s assertion in an MTBE case, “The State, as the public trustee, is empowered to bring suit to protect the corpus of the trust-i.e., the waters-for the beneficiaries of the trust-i.e</w:t>
      </w:r>
      <w:r w:rsidR="002F55CB">
        <w:rPr>
          <w:rFonts w:ascii="Times New Roman" w:hAnsi="Times New Roman" w:cs="Times New Roman"/>
          <w:sz w:val="20"/>
          <w:szCs w:val="20"/>
        </w:rPr>
        <w:t>.,</w:t>
      </w:r>
      <w:r w:rsidRPr="00834BAC">
        <w:rPr>
          <w:rFonts w:ascii="Times New Roman" w:hAnsi="Times New Roman" w:cs="Times New Roman"/>
          <w:sz w:val="20"/>
          <w:szCs w:val="20"/>
        </w:rPr>
        <w:t xml:space="preserve"> the public.”  Pl.’s </w:t>
      </w:r>
      <w:proofErr w:type="spellStart"/>
      <w:r w:rsidRPr="00834BAC">
        <w:rPr>
          <w:rFonts w:ascii="Times New Roman" w:hAnsi="Times New Roman" w:cs="Times New Roman"/>
          <w:sz w:val="20"/>
          <w:szCs w:val="20"/>
        </w:rPr>
        <w:t>Compl</w:t>
      </w:r>
      <w:proofErr w:type="spellEnd"/>
      <w:r w:rsidRPr="00834BAC">
        <w:rPr>
          <w:rFonts w:ascii="Times New Roman" w:hAnsi="Times New Roman" w:cs="Times New Roman"/>
          <w:sz w:val="20"/>
          <w:szCs w:val="20"/>
        </w:rPr>
        <w:t xml:space="preserve">., State of Maryland v. Exxon Mobil Corp., No. 1:18-cv-00459, ¶ 21 (D. Md. Dec. 13, 2017); </w:t>
      </w:r>
      <w:r w:rsidRPr="00834BAC">
        <w:rPr>
          <w:rFonts w:ascii="Times New Roman" w:hAnsi="Times New Roman" w:cs="Times New Roman"/>
          <w:i/>
          <w:iCs/>
          <w:sz w:val="20"/>
          <w:szCs w:val="20"/>
        </w:rPr>
        <w:t xml:space="preserve">see also </w:t>
      </w:r>
      <w:r w:rsidRPr="00834BAC">
        <w:rPr>
          <w:rFonts w:ascii="Times New Roman" w:hAnsi="Times New Roman" w:cs="Times New Roman"/>
          <w:sz w:val="20"/>
          <w:szCs w:val="20"/>
        </w:rPr>
        <w:t xml:space="preserve">Pl.’s </w:t>
      </w:r>
      <w:proofErr w:type="spellStart"/>
      <w:r w:rsidRPr="00834BAC">
        <w:rPr>
          <w:rFonts w:ascii="Times New Roman" w:hAnsi="Times New Roman" w:cs="Times New Roman"/>
          <w:sz w:val="20"/>
          <w:szCs w:val="20"/>
        </w:rPr>
        <w:t>Compl</w:t>
      </w:r>
      <w:proofErr w:type="spellEnd"/>
      <w:r w:rsidRPr="00834BAC">
        <w:rPr>
          <w:rFonts w:ascii="Times New Roman" w:hAnsi="Times New Roman" w:cs="Times New Roman"/>
          <w:sz w:val="20"/>
          <w:szCs w:val="20"/>
        </w:rPr>
        <w:t>., State of Washington v. Monsanto Co., No. 16-2-29592-6 SEA, ¶ 14 (“</w:t>
      </w:r>
      <w:r w:rsidRPr="00834BAC">
        <w:rPr>
          <w:rFonts w:ascii="Times New Roman" w:hAnsi="Times New Roman" w:cs="Times New Roman"/>
          <w:spacing w:val="-4"/>
          <w:position w:val="2"/>
          <w:sz w:val="20"/>
          <w:szCs w:val="20"/>
        </w:rPr>
        <w:t xml:space="preserve">The </w:t>
      </w:r>
      <w:r w:rsidRPr="00834BAC">
        <w:rPr>
          <w:rFonts w:ascii="Times New Roman" w:hAnsi="Times New Roman" w:cs="Times New Roman"/>
          <w:position w:val="2"/>
          <w:sz w:val="20"/>
          <w:szCs w:val="20"/>
        </w:rPr>
        <w:t xml:space="preserve">State has </w:t>
      </w:r>
      <w:r w:rsidRPr="00834BAC">
        <w:rPr>
          <w:rFonts w:ascii="Times New Roman" w:hAnsi="Times New Roman" w:cs="Times New Roman"/>
          <w:spacing w:val="-5"/>
          <w:position w:val="2"/>
          <w:sz w:val="20"/>
          <w:szCs w:val="20"/>
        </w:rPr>
        <w:t xml:space="preserve">standing </w:t>
      </w:r>
      <w:r w:rsidRPr="00834BAC">
        <w:rPr>
          <w:rFonts w:ascii="Times New Roman" w:hAnsi="Times New Roman" w:cs="Times New Roman"/>
          <w:position w:val="2"/>
          <w:sz w:val="20"/>
          <w:szCs w:val="20"/>
        </w:rPr>
        <w:t xml:space="preserve">to </w:t>
      </w:r>
      <w:r w:rsidRPr="00834BAC">
        <w:rPr>
          <w:rFonts w:ascii="Times New Roman" w:hAnsi="Times New Roman" w:cs="Times New Roman"/>
          <w:spacing w:val="-7"/>
          <w:position w:val="2"/>
          <w:sz w:val="20"/>
          <w:szCs w:val="20"/>
        </w:rPr>
        <w:t xml:space="preserve">bring </w:t>
      </w:r>
      <w:r w:rsidRPr="00834BAC">
        <w:rPr>
          <w:rFonts w:ascii="Times New Roman" w:hAnsi="Times New Roman" w:cs="Times New Roman"/>
          <w:spacing w:val="-8"/>
          <w:position w:val="2"/>
          <w:sz w:val="20"/>
          <w:szCs w:val="20"/>
        </w:rPr>
        <w:t xml:space="preserve">this </w:t>
      </w:r>
      <w:r w:rsidRPr="00834BAC">
        <w:rPr>
          <w:rFonts w:ascii="Times New Roman" w:hAnsi="Times New Roman" w:cs="Times New Roman"/>
          <w:spacing w:val="-6"/>
          <w:position w:val="2"/>
          <w:sz w:val="20"/>
          <w:szCs w:val="20"/>
        </w:rPr>
        <w:t xml:space="preserve">lawsuit </w:t>
      </w:r>
      <w:r w:rsidRPr="00834BAC">
        <w:rPr>
          <w:rFonts w:ascii="Times New Roman" w:hAnsi="Times New Roman" w:cs="Times New Roman"/>
          <w:spacing w:val="2"/>
          <w:position w:val="2"/>
          <w:sz w:val="20"/>
          <w:szCs w:val="20"/>
        </w:rPr>
        <w:t xml:space="preserve">as </w:t>
      </w:r>
      <w:r w:rsidRPr="00834BAC">
        <w:rPr>
          <w:rFonts w:ascii="Times New Roman" w:hAnsi="Times New Roman" w:cs="Times New Roman"/>
          <w:position w:val="2"/>
          <w:sz w:val="20"/>
          <w:szCs w:val="20"/>
        </w:rPr>
        <w:t xml:space="preserve">trustee </w:t>
      </w:r>
      <w:r w:rsidRPr="00834BAC">
        <w:rPr>
          <w:rFonts w:ascii="Times New Roman" w:hAnsi="Times New Roman" w:cs="Times New Roman"/>
          <w:spacing w:val="-4"/>
          <w:position w:val="2"/>
          <w:sz w:val="20"/>
          <w:szCs w:val="20"/>
        </w:rPr>
        <w:t xml:space="preserve">of </w:t>
      </w:r>
      <w:r w:rsidRPr="00834BAC">
        <w:rPr>
          <w:rFonts w:ascii="Times New Roman" w:hAnsi="Times New Roman" w:cs="Times New Roman"/>
          <w:spacing w:val="-5"/>
          <w:position w:val="2"/>
          <w:sz w:val="20"/>
          <w:szCs w:val="20"/>
        </w:rPr>
        <w:t>all</w:t>
      </w:r>
      <w:r w:rsidRPr="00834BAC">
        <w:rPr>
          <w:rFonts w:ascii="Times New Roman" w:hAnsi="Times New Roman" w:cs="Times New Roman"/>
          <w:spacing w:val="-15"/>
          <w:position w:val="2"/>
          <w:sz w:val="20"/>
          <w:szCs w:val="20"/>
        </w:rPr>
        <w:t xml:space="preserve"> </w:t>
      </w:r>
      <w:r w:rsidRPr="00834BAC">
        <w:rPr>
          <w:rFonts w:ascii="Times New Roman" w:hAnsi="Times New Roman" w:cs="Times New Roman"/>
          <w:spacing w:val="-4"/>
          <w:position w:val="2"/>
          <w:sz w:val="20"/>
          <w:szCs w:val="20"/>
        </w:rPr>
        <w:t xml:space="preserve">aforementioned </w:t>
      </w:r>
      <w:r w:rsidRPr="00834BAC">
        <w:rPr>
          <w:rFonts w:ascii="Times New Roman" w:hAnsi="Times New Roman" w:cs="Times New Roman"/>
          <w:spacing w:val="-11"/>
          <w:position w:val="2"/>
          <w:sz w:val="20"/>
          <w:szCs w:val="20"/>
        </w:rPr>
        <w:t xml:space="preserve">public </w:t>
      </w:r>
      <w:r w:rsidRPr="00834BAC">
        <w:rPr>
          <w:rFonts w:ascii="Times New Roman" w:hAnsi="Times New Roman" w:cs="Times New Roman"/>
          <w:position w:val="2"/>
          <w:sz w:val="20"/>
          <w:szCs w:val="20"/>
        </w:rPr>
        <w:t>natural</w:t>
      </w:r>
      <w:r w:rsidRPr="00834BAC">
        <w:rPr>
          <w:rFonts w:ascii="Times New Roman" w:hAnsi="Times New Roman" w:cs="Times New Roman"/>
          <w:spacing w:val="-15"/>
          <w:position w:val="2"/>
          <w:sz w:val="20"/>
          <w:szCs w:val="20"/>
        </w:rPr>
        <w:t xml:space="preserve"> </w:t>
      </w:r>
      <w:r w:rsidRPr="00834BAC">
        <w:rPr>
          <w:rFonts w:ascii="Times New Roman" w:hAnsi="Times New Roman" w:cs="Times New Roman"/>
          <w:position w:val="2"/>
          <w:sz w:val="20"/>
          <w:szCs w:val="20"/>
        </w:rPr>
        <w:t>resources.”).</w:t>
      </w:r>
    </w:p>
  </w:footnote>
  <w:footnote w:id="104">
    <w:p w:rsidR="00401159" w:rsidRPr="00834BAC" w:rsidRDefault="00401159">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w:t>
      </w:r>
      <w:r w:rsidRPr="00834BAC">
        <w:rPr>
          <w:rFonts w:ascii="Times New Roman" w:hAnsi="Times New Roman" w:cs="Times New Roman"/>
          <w:i/>
          <w:iCs/>
        </w:rPr>
        <w:t>See</w:t>
      </w:r>
      <w:r w:rsidRPr="00834BAC">
        <w:rPr>
          <w:rFonts w:ascii="Times New Roman" w:hAnsi="Times New Roman" w:cs="Times New Roman"/>
        </w:rPr>
        <w:t xml:space="preserve"> State v. Monsanto Co., No. A1801237, 5-6 (Ohio Ct. Com. Pl. Sept. 19, 2018).</w:t>
      </w:r>
    </w:p>
  </w:footnote>
  <w:footnote w:id="105">
    <w:p w:rsidR="00401159" w:rsidRPr="00834BAC" w:rsidRDefault="00401159" w:rsidP="007B1306">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549 U.S. 497, 524 (2007).</w:t>
      </w:r>
    </w:p>
  </w:footnote>
  <w:footnote w:id="106">
    <w:p w:rsidR="00401159" w:rsidRPr="00834BAC" w:rsidRDefault="00401159" w:rsidP="007B1306">
      <w:pPr>
        <w:pStyle w:val="Heading1"/>
        <w:spacing w:before="0" w:beforeAutospacing="0" w:after="0" w:afterAutospacing="0"/>
        <w:rPr>
          <w:b w:val="0"/>
          <w:bCs w:val="0"/>
          <w:sz w:val="20"/>
          <w:szCs w:val="20"/>
        </w:rPr>
      </w:pPr>
      <w:r w:rsidRPr="00834BAC">
        <w:rPr>
          <w:rStyle w:val="FootnoteReference"/>
          <w:b w:val="0"/>
          <w:bCs w:val="0"/>
          <w:sz w:val="20"/>
          <w:szCs w:val="20"/>
        </w:rPr>
        <w:footnoteRef/>
      </w:r>
      <w:r w:rsidRPr="00834BAC">
        <w:rPr>
          <w:b w:val="0"/>
          <w:bCs w:val="0"/>
          <w:sz w:val="20"/>
          <w:szCs w:val="20"/>
        </w:rPr>
        <w:t xml:space="preserve"> </w:t>
      </w:r>
      <w:proofErr w:type="spellStart"/>
      <w:r w:rsidRPr="00834BAC">
        <w:rPr>
          <w:b w:val="0"/>
          <w:bCs w:val="0"/>
          <w:sz w:val="20"/>
          <w:szCs w:val="20"/>
        </w:rPr>
        <w:t>Urgenda</w:t>
      </w:r>
      <w:proofErr w:type="spellEnd"/>
      <w:r w:rsidRPr="00834BAC">
        <w:rPr>
          <w:b w:val="0"/>
          <w:bCs w:val="0"/>
          <w:sz w:val="20"/>
          <w:szCs w:val="20"/>
        </w:rPr>
        <w:t xml:space="preserve"> Found. v. Netherlands, HAZA C/09/00456689, ¶ 4.79 (Hof 2015) (emphasis added). </w:t>
      </w:r>
    </w:p>
    <w:p w:rsidR="00401159" w:rsidRPr="00834BAC" w:rsidRDefault="00401159" w:rsidP="007B1306">
      <w:pPr>
        <w:pStyle w:val="FootnoteText"/>
        <w:rPr>
          <w:rFonts w:ascii="Times New Roman" w:hAnsi="Times New Roman" w:cs="Times New Roman"/>
        </w:rPr>
      </w:pPr>
    </w:p>
  </w:footnote>
  <w:footnote w:id="107">
    <w:p w:rsidR="00401159" w:rsidRPr="00834BAC" w:rsidRDefault="00401159" w:rsidP="007B1306">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w:t>
      </w:r>
      <w:r w:rsidRPr="00834BAC">
        <w:rPr>
          <w:rFonts w:ascii="Times New Roman" w:hAnsi="Times New Roman" w:cs="Times New Roman"/>
          <w:i/>
          <w:iCs/>
        </w:rPr>
        <w:t>AEP</w:t>
      </w:r>
      <w:r w:rsidRPr="00834BAC">
        <w:rPr>
          <w:rFonts w:ascii="Times New Roman" w:hAnsi="Times New Roman" w:cs="Times New Roman"/>
        </w:rPr>
        <w:t>,</w:t>
      </w:r>
      <w:r w:rsidRPr="00834BAC">
        <w:rPr>
          <w:rFonts w:ascii="Times New Roman" w:hAnsi="Times New Roman" w:cs="Times New Roman"/>
          <w:i/>
          <w:iCs/>
        </w:rPr>
        <w:t xml:space="preserve"> </w:t>
      </w:r>
      <w:r w:rsidRPr="00834BAC">
        <w:rPr>
          <w:rFonts w:ascii="Times New Roman" w:hAnsi="Times New Roman" w:cs="Times New Roman"/>
        </w:rPr>
        <w:t>562 U.S. 1091 (2010).</w:t>
      </w:r>
    </w:p>
  </w:footnote>
  <w:footnote w:id="108">
    <w:p w:rsidR="00401159" w:rsidRPr="00834BAC" w:rsidRDefault="00401159" w:rsidP="007B1306">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w:t>
      </w:r>
      <w:proofErr w:type="spellStart"/>
      <w:r w:rsidRPr="00834BAC">
        <w:rPr>
          <w:rFonts w:ascii="Times New Roman" w:hAnsi="Times New Roman" w:cs="Times New Roman"/>
        </w:rPr>
        <w:t>Kuh</w:t>
      </w:r>
      <w:proofErr w:type="spellEnd"/>
      <w:r w:rsidRPr="00834BAC">
        <w:rPr>
          <w:rFonts w:ascii="Times New Roman" w:hAnsi="Times New Roman" w:cs="Times New Roman"/>
        </w:rPr>
        <w:t xml:space="preserve">, </w:t>
      </w:r>
      <w:r w:rsidRPr="00834BAC">
        <w:rPr>
          <w:rFonts w:ascii="Times New Roman" w:hAnsi="Times New Roman" w:cs="Times New Roman"/>
          <w:i/>
          <w:iCs/>
        </w:rPr>
        <w:t>supra</w:t>
      </w:r>
      <w:r w:rsidRPr="00834BAC">
        <w:rPr>
          <w:rFonts w:ascii="Times New Roman" w:hAnsi="Times New Roman" w:cs="Times New Roman"/>
        </w:rPr>
        <w:t xml:space="preserve"> note 1.</w:t>
      </w:r>
    </w:p>
  </w:footnote>
  <w:footnote w:id="109">
    <w:p w:rsidR="00401159" w:rsidRPr="00834BAC" w:rsidRDefault="00401159" w:rsidP="007B1306">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Juliana v. United States, 217 F. Supp. 3d 1224, 1260 (2016)</w:t>
      </w:r>
      <w:r>
        <w:rPr>
          <w:rFonts w:ascii="Times New Roman" w:hAnsi="Times New Roman" w:cs="Times New Roman"/>
        </w:rPr>
        <w:t xml:space="preserve">; </w:t>
      </w:r>
      <w:r w:rsidRPr="00834BAC">
        <w:rPr>
          <w:rFonts w:ascii="Times New Roman" w:hAnsi="Times New Roman" w:cs="Times New Roman"/>
          <w:i/>
          <w:iCs/>
        </w:rPr>
        <w:t xml:space="preserve">contra </w:t>
      </w:r>
      <w:r w:rsidRPr="00834BAC">
        <w:rPr>
          <w:rFonts w:ascii="Times New Roman" w:hAnsi="Times New Roman" w:cs="Times New Roman"/>
        </w:rPr>
        <w:t xml:space="preserve">Alec L. v. Jackson, 863 F. Supp. 2d 11 (D. D.C. 2012)) (adopting displacement theory to dismiss ATL claim).  Another related defense, beyond the scope of this chapter, is the “political question” defense, which limits courts from hearing issues that are fundamentally “political” in nature.  </w:t>
      </w:r>
    </w:p>
  </w:footnote>
  <w:footnote w:id="110">
    <w:p w:rsidR="00401159" w:rsidRPr="00834BAC" w:rsidRDefault="00401159" w:rsidP="007B1306">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w:t>
      </w:r>
      <w:r w:rsidRPr="00834BAC">
        <w:rPr>
          <w:rFonts w:ascii="Times New Roman" w:hAnsi="Times New Roman" w:cs="Times New Roman"/>
          <w:i/>
          <w:iCs/>
        </w:rPr>
        <w:t>Volkswagen Clean Air Act Civil Settlement</w:t>
      </w:r>
      <w:r w:rsidRPr="00834BAC">
        <w:rPr>
          <w:rFonts w:ascii="Times New Roman" w:hAnsi="Times New Roman" w:cs="Times New Roman"/>
        </w:rPr>
        <w:t xml:space="preserve">, U.S. EPA, </w:t>
      </w:r>
      <w:hyperlink r:id="rId2" w:history="1">
        <w:r w:rsidRPr="00834BAC">
          <w:rPr>
            <w:rStyle w:val="Hyperlink"/>
            <w:rFonts w:ascii="Times New Roman" w:hAnsi="Times New Roman" w:cs="Times New Roman"/>
          </w:rPr>
          <w:t>https://www.epa.gov/enforcement/volkswagen-clean-air-act-civil-settlement</w:t>
        </w:r>
      </w:hyperlink>
      <w:r w:rsidR="00301AA0">
        <w:rPr>
          <w:rFonts w:ascii="Times New Roman" w:hAnsi="Times New Roman" w:cs="Times New Roman"/>
        </w:rPr>
        <w:t>.</w:t>
      </w:r>
    </w:p>
  </w:footnote>
  <w:footnote w:id="111">
    <w:p w:rsidR="00401159" w:rsidRPr="00834BAC" w:rsidRDefault="00401159" w:rsidP="007B1306">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w:t>
      </w:r>
      <w:r w:rsidRPr="00834BAC">
        <w:rPr>
          <w:rFonts w:ascii="Times New Roman" w:hAnsi="Times New Roman" w:cs="Times New Roman"/>
          <w:i/>
          <w:iCs/>
        </w:rPr>
        <w:t>Deepwater Horizon Oil Spill Settlements: Where the Money Went</w:t>
      </w:r>
      <w:r w:rsidRPr="00834BAC">
        <w:rPr>
          <w:rFonts w:ascii="Times New Roman" w:hAnsi="Times New Roman" w:cs="Times New Roman"/>
        </w:rPr>
        <w:t xml:space="preserve">, </w:t>
      </w:r>
      <w:r w:rsidRPr="00834BAC">
        <w:rPr>
          <w:rFonts w:ascii="Times New Roman" w:hAnsi="Times New Roman" w:cs="Times New Roman"/>
          <w:smallCaps/>
        </w:rPr>
        <w:t>Nat’l Oceanic Atmospheric Admin</w:t>
      </w:r>
      <w:r w:rsidRPr="00834BAC">
        <w:rPr>
          <w:rFonts w:ascii="Times New Roman" w:hAnsi="Times New Roman" w:cs="Times New Roman"/>
        </w:rPr>
        <w:t xml:space="preserve">., </w:t>
      </w:r>
      <w:hyperlink r:id="rId3" w:history="1">
        <w:r w:rsidRPr="00834BAC">
          <w:rPr>
            <w:rStyle w:val="Hyperlink"/>
            <w:rFonts w:ascii="Times New Roman" w:hAnsi="Times New Roman" w:cs="Times New Roman"/>
          </w:rPr>
          <w:t>https://www.noaa.gov/explainers/deepwater-horizon-oil-spill-settlements-where-money-went</w:t>
        </w:r>
      </w:hyperlink>
      <w:r w:rsidRPr="00834BAC">
        <w:rPr>
          <w:rFonts w:ascii="Times New Roman" w:hAnsi="Times New Roman" w:cs="Times New Roman"/>
        </w:rPr>
        <w:t>.</w:t>
      </w:r>
    </w:p>
  </w:footnote>
  <w:footnote w:id="112">
    <w:p w:rsidR="00401159" w:rsidRPr="00834BAC" w:rsidRDefault="00401159" w:rsidP="007B1306">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People v. Conagra Grocery Prods., 17 Cal. App. 5th 51 (2017). </w:t>
      </w:r>
    </w:p>
  </w:footnote>
  <w:footnote w:id="113">
    <w:p w:rsidR="00401159" w:rsidRPr="00401159" w:rsidRDefault="00401159" w:rsidP="00401159">
      <w:pPr>
        <w:autoSpaceDE w:val="0"/>
        <w:autoSpaceDN w:val="0"/>
        <w:adjustRightInd w:val="0"/>
        <w:rPr>
          <w:rFonts w:ascii="Times New Roman" w:hAnsi="Times New Roman" w:cs="Times New Roman"/>
        </w:rPr>
      </w:pPr>
      <w:r w:rsidRPr="00401159">
        <w:rPr>
          <w:rStyle w:val="FootnoteReference"/>
          <w:rFonts w:ascii="Times New Roman" w:hAnsi="Times New Roman" w:cs="Times New Roman"/>
          <w:sz w:val="20"/>
          <w:szCs w:val="20"/>
        </w:rPr>
        <w:footnoteRef/>
      </w:r>
      <w:r w:rsidRPr="00401159">
        <w:rPr>
          <w:rFonts w:ascii="Times New Roman" w:hAnsi="Times New Roman" w:cs="Times New Roman"/>
          <w:sz w:val="20"/>
          <w:szCs w:val="20"/>
        </w:rPr>
        <w:t xml:space="preserve"> Remedies in </w:t>
      </w:r>
      <w:r w:rsidR="00301AA0">
        <w:rPr>
          <w:rFonts w:ascii="Times New Roman" w:hAnsi="Times New Roman" w:cs="Times New Roman"/>
          <w:sz w:val="20"/>
          <w:szCs w:val="20"/>
        </w:rPr>
        <w:t>NRD</w:t>
      </w:r>
      <w:r w:rsidRPr="00401159">
        <w:rPr>
          <w:rFonts w:ascii="Times New Roman" w:hAnsi="Times New Roman" w:cs="Times New Roman"/>
          <w:sz w:val="20"/>
          <w:szCs w:val="20"/>
        </w:rPr>
        <w:t xml:space="preserve"> actions are often the subject of settlement negotiations and consent decrees</w:t>
      </w:r>
      <w:r w:rsidR="002F55CB">
        <w:rPr>
          <w:rFonts w:ascii="Times New Roman" w:hAnsi="Times New Roman" w:cs="Times New Roman"/>
          <w:sz w:val="20"/>
          <w:szCs w:val="20"/>
        </w:rPr>
        <w:t>.  Cases</w:t>
      </w:r>
      <w:r w:rsidRPr="00401159">
        <w:rPr>
          <w:rFonts w:ascii="Times New Roman" w:hAnsi="Times New Roman" w:cs="Times New Roman"/>
          <w:sz w:val="20"/>
          <w:szCs w:val="20"/>
        </w:rPr>
        <w:t xml:space="preserve"> make clear “trustees can settle suits with far less than a full damages picture.” N.J. v. Exxon, 183 A.3d 289, 318 (2015).</w:t>
      </w:r>
    </w:p>
  </w:footnote>
  <w:footnote w:id="114">
    <w:p w:rsidR="00401159" w:rsidRPr="00834BAC" w:rsidRDefault="00401159" w:rsidP="007B1306">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Ira Gottlieb et al., </w:t>
      </w:r>
      <w:r w:rsidRPr="00834BAC">
        <w:rPr>
          <w:rFonts w:ascii="Times New Roman" w:hAnsi="Times New Roman" w:cs="Times New Roman"/>
          <w:i/>
        </w:rPr>
        <w:t>Natural Resource Damages for Climate Change—An Idea Whose Time Has Not Yet Come, Part I: NRD Claims Are Not Currently Viable Under CERCLA</w:t>
      </w:r>
      <w:r w:rsidRPr="00834BAC">
        <w:rPr>
          <w:rFonts w:ascii="Times New Roman" w:hAnsi="Times New Roman" w:cs="Times New Roman"/>
        </w:rPr>
        <w:t xml:space="preserve">, 20 </w:t>
      </w:r>
      <w:proofErr w:type="spellStart"/>
      <w:r w:rsidRPr="00834BAC">
        <w:rPr>
          <w:rFonts w:ascii="Times New Roman" w:hAnsi="Times New Roman" w:cs="Times New Roman"/>
          <w:smallCaps/>
        </w:rPr>
        <w:t>Envtl</w:t>
      </w:r>
      <w:proofErr w:type="spellEnd"/>
      <w:r w:rsidRPr="00834BAC">
        <w:rPr>
          <w:rFonts w:ascii="Times New Roman" w:hAnsi="Times New Roman" w:cs="Times New Roman"/>
          <w:smallCaps/>
        </w:rPr>
        <w:t>. Claims J.</w:t>
      </w:r>
      <w:r w:rsidRPr="00834BAC">
        <w:rPr>
          <w:rFonts w:ascii="Times New Roman" w:hAnsi="Times New Roman" w:cs="Times New Roman"/>
        </w:rPr>
        <w:t xml:space="preserve"> 256, 257 (2008).</w:t>
      </w:r>
    </w:p>
  </w:footnote>
  <w:footnote w:id="115">
    <w:p w:rsidR="00401159" w:rsidRPr="00834BAC" w:rsidRDefault="00401159" w:rsidP="00943F08">
      <w:pPr>
        <w:rPr>
          <w:rFonts w:ascii="Times New Roman" w:hAnsi="Times New Roman" w:cs="Times New Roman"/>
          <w:sz w:val="20"/>
          <w:szCs w:val="20"/>
        </w:rPr>
      </w:pPr>
      <w:r w:rsidRPr="00834BAC">
        <w:rPr>
          <w:rStyle w:val="FootnoteReference"/>
          <w:rFonts w:ascii="Times New Roman" w:hAnsi="Times New Roman" w:cs="Times New Roman"/>
          <w:sz w:val="20"/>
          <w:szCs w:val="20"/>
        </w:rPr>
        <w:footnoteRef/>
      </w:r>
      <w:r w:rsidRPr="00834BAC">
        <w:rPr>
          <w:rFonts w:ascii="Times New Roman" w:hAnsi="Times New Roman" w:cs="Times New Roman"/>
          <w:sz w:val="20"/>
          <w:szCs w:val="20"/>
        </w:rPr>
        <w:t xml:space="preserve"> Robertson, </w:t>
      </w:r>
      <w:r w:rsidRPr="00834BAC">
        <w:rPr>
          <w:rFonts w:ascii="Times New Roman" w:hAnsi="Times New Roman" w:cs="Times New Roman"/>
          <w:i/>
          <w:iCs/>
          <w:sz w:val="20"/>
          <w:szCs w:val="20"/>
        </w:rPr>
        <w:t>supra</w:t>
      </w:r>
      <w:r w:rsidRPr="00834BAC">
        <w:rPr>
          <w:rFonts w:ascii="Times New Roman" w:hAnsi="Times New Roman" w:cs="Times New Roman"/>
          <w:sz w:val="20"/>
          <w:szCs w:val="20"/>
        </w:rPr>
        <w:t xml:space="preserve"> note 2, at 29.</w:t>
      </w:r>
    </w:p>
  </w:footnote>
  <w:footnote w:id="116">
    <w:p w:rsidR="00401159" w:rsidRPr="00834BAC" w:rsidRDefault="00401159" w:rsidP="008C2727">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R. Henry Weaver &amp; Douglas </w:t>
      </w:r>
      <w:proofErr w:type="spellStart"/>
      <w:r w:rsidRPr="00834BAC">
        <w:rPr>
          <w:rFonts w:ascii="Times New Roman" w:hAnsi="Times New Roman" w:cs="Times New Roman"/>
        </w:rPr>
        <w:t>Kysar</w:t>
      </w:r>
      <w:proofErr w:type="spellEnd"/>
      <w:r w:rsidRPr="00834BAC">
        <w:rPr>
          <w:rFonts w:ascii="Times New Roman" w:hAnsi="Times New Roman" w:cs="Times New Roman"/>
        </w:rPr>
        <w:t xml:space="preserve">, </w:t>
      </w:r>
      <w:r w:rsidRPr="00834BAC">
        <w:rPr>
          <w:rFonts w:ascii="Times New Roman" w:hAnsi="Times New Roman" w:cs="Times New Roman"/>
          <w:i/>
          <w:iCs/>
        </w:rPr>
        <w:t>Courting Disaster: Climate Change and the Adjudication of Catastrophe</w:t>
      </w:r>
      <w:r w:rsidRPr="00834BAC">
        <w:rPr>
          <w:rFonts w:ascii="Times New Roman" w:hAnsi="Times New Roman" w:cs="Times New Roman"/>
        </w:rPr>
        <w:t xml:space="preserve">, 93 </w:t>
      </w:r>
      <w:r w:rsidRPr="00834BAC">
        <w:rPr>
          <w:rFonts w:ascii="Times New Roman" w:hAnsi="Times New Roman" w:cs="Times New Roman"/>
          <w:smallCaps/>
        </w:rPr>
        <w:t xml:space="preserve">Notre Dame L. Rev. </w:t>
      </w:r>
      <w:r w:rsidRPr="00834BAC">
        <w:rPr>
          <w:rFonts w:ascii="Times New Roman" w:hAnsi="Times New Roman" w:cs="Times New Roman"/>
        </w:rPr>
        <w:t>295, 329 (2017).</w:t>
      </w:r>
    </w:p>
  </w:footnote>
  <w:footnote w:id="117">
    <w:p w:rsidR="00401159" w:rsidRPr="00834BAC" w:rsidRDefault="00401159">
      <w:pPr>
        <w:pStyle w:val="FootnoteText"/>
        <w:rPr>
          <w:rFonts w:ascii="Times New Roman" w:hAnsi="Times New Roman" w:cs="Times New Roman"/>
        </w:rPr>
      </w:pPr>
      <w:r w:rsidRPr="00834BAC">
        <w:rPr>
          <w:rStyle w:val="FootnoteReference"/>
          <w:rFonts w:ascii="Times New Roman" w:hAnsi="Times New Roman" w:cs="Times New Roman"/>
        </w:rPr>
        <w:footnoteRef/>
      </w:r>
      <w:r w:rsidRPr="00834BAC">
        <w:rPr>
          <w:rFonts w:ascii="Times New Roman" w:hAnsi="Times New Roman" w:cs="Times New Roman"/>
        </w:rPr>
        <w:t xml:space="preserve"> Michael D. Wilson, </w:t>
      </w:r>
      <w:r w:rsidRPr="00834BAC">
        <w:rPr>
          <w:rFonts w:ascii="Times New Roman" w:hAnsi="Times New Roman" w:cs="Times New Roman"/>
          <w:i/>
          <w:iCs/>
        </w:rPr>
        <w:t>Climate Change and the Judge as Water Trustee</w:t>
      </w:r>
      <w:r w:rsidRPr="00834BAC">
        <w:rPr>
          <w:rFonts w:ascii="Times New Roman" w:hAnsi="Times New Roman" w:cs="Times New Roman"/>
        </w:rPr>
        <w:t>, 48 ELR 10235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159" w:rsidRDefault="0040115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19E"/>
    <w:multiLevelType w:val="hybridMultilevel"/>
    <w:tmpl w:val="A042ACE6"/>
    <w:lvl w:ilvl="0" w:tplc="31A853B4">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8E3220F"/>
    <w:multiLevelType w:val="hybridMultilevel"/>
    <w:tmpl w:val="45C8962E"/>
    <w:lvl w:ilvl="0" w:tplc="0130ED68">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97573F4"/>
    <w:multiLevelType w:val="hybridMultilevel"/>
    <w:tmpl w:val="2C1A2D62"/>
    <w:lvl w:ilvl="0" w:tplc="E898CE34">
      <w:start w:val="1"/>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A53A2D"/>
    <w:multiLevelType w:val="multilevel"/>
    <w:tmpl w:val="352A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66B88"/>
    <w:multiLevelType w:val="hybridMultilevel"/>
    <w:tmpl w:val="EE2CB502"/>
    <w:lvl w:ilvl="0" w:tplc="C6B805D4">
      <w:start w:val="1"/>
      <w:numFmt w:val="upp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E3B1CFA"/>
    <w:multiLevelType w:val="hybridMultilevel"/>
    <w:tmpl w:val="7E58810A"/>
    <w:lvl w:ilvl="0" w:tplc="4336C0C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F125E24"/>
    <w:multiLevelType w:val="hybridMultilevel"/>
    <w:tmpl w:val="F28EE892"/>
    <w:lvl w:ilvl="0" w:tplc="22A442AA">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0FED1FCB"/>
    <w:multiLevelType w:val="hybridMultilevel"/>
    <w:tmpl w:val="22A2F4F4"/>
    <w:lvl w:ilvl="0" w:tplc="7094744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1E4924"/>
    <w:multiLevelType w:val="hybridMultilevel"/>
    <w:tmpl w:val="03FC2A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A74DCE"/>
    <w:multiLevelType w:val="hybridMultilevel"/>
    <w:tmpl w:val="012E992C"/>
    <w:lvl w:ilvl="0" w:tplc="BDAE4AB8">
      <w:start w:val="4"/>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7183A29"/>
    <w:multiLevelType w:val="multilevel"/>
    <w:tmpl w:val="02A8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CD4B73"/>
    <w:multiLevelType w:val="hybridMultilevel"/>
    <w:tmpl w:val="41D2615C"/>
    <w:lvl w:ilvl="0" w:tplc="B6BCE1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9212B17"/>
    <w:multiLevelType w:val="hybridMultilevel"/>
    <w:tmpl w:val="3AFAD18E"/>
    <w:lvl w:ilvl="0" w:tplc="03FE605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7E59D3"/>
    <w:multiLevelType w:val="hybridMultilevel"/>
    <w:tmpl w:val="02AA78E4"/>
    <w:lvl w:ilvl="0" w:tplc="94B0C8FC">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91E1CAE"/>
    <w:multiLevelType w:val="hybridMultilevel"/>
    <w:tmpl w:val="B2A2825C"/>
    <w:lvl w:ilvl="0" w:tplc="C4104B5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C7F21"/>
    <w:multiLevelType w:val="hybridMultilevel"/>
    <w:tmpl w:val="40AEDCA2"/>
    <w:lvl w:ilvl="0" w:tplc="F13E7E0E">
      <w:start w:val="3"/>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399F3963"/>
    <w:multiLevelType w:val="hybridMultilevel"/>
    <w:tmpl w:val="782838F4"/>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1B54E2"/>
    <w:multiLevelType w:val="hybridMultilevel"/>
    <w:tmpl w:val="A2FE6CB0"/>
    <w:lvl w:ilvl="0" w:tplc="01F45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183AD4"/>
    <w:multiLevelType w:val="hybridMultilevel"/>
    <w:tmpl w:val="2DDA48A0"/>
    <w:lvl w:ilvl="0" w:tplc="3D94C542">
      <w:start w:val="1"/>
      <w:numFmt w:val="decimal"/>
      <w:lvlText w:val="%1."/>
      <w:lvlJc w:val="left"/>
      <w:pPr>
        <w:ind w:left="720" w:hanging="360"/>
      </w:pPr>
      <w:rPr>
        <w:rFonts w:hint="default"/>
        <w:color w:val="365F9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CF2A5D"/>
    <w:multiLevelType w:val="hybridMultilevel"/>
    <w:tmpl w:val="6A1C34FA"/>
    <w:lvl w:ilvl="0" w:tplc="A3964668">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D32DB8"/>
    <w:multiLevelType w:val="hybridMultilevel"/>
    <w:tmpl w:val="3A5C5C0C"/>
    <w:lvl w:ilvl="0" w:tplc="7C681710">
      <w:start w:val="4"/>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50B69F9"/>
    <w:multiLevelType w:val="hybridMultilevel"/>
    <w:tmpl w:val="70AC141E"/>
    <w:lvl w:ilvl="0" w:tplc="3EDABFA2">
      <w:start w:val="1"/>
      <w:numFmt w:val="decimal"/>
      <w:lvlText w:val="%1"/>
      <w:lvlJc w:val="left"/>
      <w:pPr>
        <w:ind w:left="1340" w:hanging="392"/>
        <w:jc w:val="right"/>
      </w:pPr>
      <w:rPr>
        <w:rFonts w:ascii="Times New Roman" w:eastAsia="Times New Roman" w:hAnsi="Times New Roman" w:cs="Times New Roman" w:hint="default"/>
        <w:spacing w:val="-3"/>
        <w:w w:val="99"/>
        <w:sz w:val="24"/>
        <w:szCs w:val="24"/>
      </w:rPr>
    </w:lvl>
    <w:lvl w:ilvl="1" w:tplc="36606436">
      <w:numFmt w:val="bullet"/>
      <w:lvlText w:val="•"/>
      <w:lvlJc w:val="left"/>
      <w:pPr>
        <w:ind w:left="2410" w:hanging="392"/>
      </w:pPr>
      <w:rPr>
        <w:rFonts w:hint="default"/>
      </w:rPr>
    </w:lvl>
    <w:lvl w:ilvl="2" w:tplc="EF3215BA">
      <w:numFmt w:val="bullet"/>
      <w:lvlText w:val="•"/>
      <w:lvlJc w:val="left"/>
      <w:pPr>
        <w:ind w:left="3480" w:hanging="392"/>
      </w:pPr>
      <w:rPr>
        <w:rFonts w:hint="default"/>
      </w:rPr>
    </w:lvl>
    <w:lvl w:ilvl="3" w:tplc="F6EA365C">
      <w:numFmt w:val="bullet"/>
      <w:lvlText w:val="•"/>
      <w:lvlJc w:val="left"/>
      <w:pPr>
        <w:ind w:left="4550" w:hanging="392"/>
      </w:pPr>
      <w:rPr>
        <w:rFonts w:hint="default"/>
      </w:rPr>
    </w:lvl>
    <w:lvl w:ilvl="4" w:tplc="AF9EB9B0">
      <w:numFmt w:val="bullet"/>
      <w:lvlText w:val="•"/>
      <w:lvlJc w:val="left"/>
      <w:pPr>
        <w:ind w:left="5620" w:hanging="392"/>
      </w:pPr>
      <w:rPr>
        <w:rFonts w:hint="default"/>
      </w:rPr>
    </w:lvl>
    <w:lvl w:ilvl="5" w:tplc="26CE3862">
      <w:numFmt w:val="bullet"/>
      <w:lvlText w:val="•"/>
      <w:lvlJc w:val="left"/>
      <w:pPr>
        <w:ind w:left="6690" w:hanging="392"/>
      </w:pPr>
      <w:rPr>
        <w:rFonts w:hint="default"/>
      </w:rPr>
    </w:lvl>
    <w:lvl w:ilvl="6" w:tplc="5C5EE54C">
      <w:numFmt w:val="bullet"/>
      <w:lvlText w:val="•"/>
      <w:lvlJc w:val="left"/>
      <w:pPr>
        <w:ind w:left="7760" w:hanging="392"/>
      </w:pPr>
      <w:rPr>
        <w:rFonts w:hint="default"/>
      </w:rPr>
    </w:lvl>
    <w:lvl w:ilvl="7" w:tplc="1CA2C06C">
      <w:numFmt w:val="bullet"/>
      <w:lvlText w:val="•"/>
      <w:lvlJc w:val="left"/>
      <w:pPr>
        <w:ind w:left="8830" w:hanging="392"/>
      </w:pPr>
      <w:rPr>
        <w:rFonts w:hint="default"/>
      </w:rPr>
    </w:lvl>
    <w:lvl w:ilvl="8" w:tplc="75C0D622">
      <w:numFmt w:val="bullet"/>
      <w:lvlText w:val="•"/>
      <w:lvlJc w:val="left"/>
      <w:pPr>
        <w:ind w:left="9900" w:hanging="392"/>
      </w:pPr>
      <w:rPr>
        <w:rFonts w:hint="default"/>
      </w:rPr>
    </w:lvl>
  </w:abstractNum>
  <w:abstractNum w:abstractNumId="22" w15:restartNumberingAfterBreak="0">
    <w:nsid w:val="49A74229"/>
    <w:multiLevelType w:val="hybridMultilevel"/>
    <w:tmpl w:val="E3FE11AE"/>
    <w:lvl w:ilvl="0" w:tplc="A8E85964">
      <w:start w:val="27"/>
      <w:numFmt w:val="decimal"/>
      <w:lvlText w:val="%1"/>
      <w:lvlJc w:val="left"/>
      <w:pPr>
        <w:ind w:left="1340" w:hanging="512"/>
      </w:pPr>
      <w:rPr>
        <w:rFonts w:ascii="Times New Roman" w:eastAsia="Times New Roman" w:hAnsi="Times New Roman" w:cs="Times New Roman" w:hint="default"/>
        <w:spacing w:val="-1"/>
        <w:w w:val="100"/>
        <w:sz w:val="24"/>
        <w:szCs w:val="24"/>
      </w:rPr>
    </w:lvl>
    <w:lvl w:ilvl="1" w:tplc="DC924928">
      <w:start w:val="1"/>
      <w:numFmt w:val="decimal"/>
      <w:lvlText w:val="%2"/>
      <w:lvlJc w:val="left"/>
      <w:pPr>
        <w:ind w:left="2060" w:hanging="1112"/>
        <w:jc w:val="right"/>
      </w:pPr>
      <w:rPr>
        <w:rFonts w:ascii="Times New Roman" w:eastAsia="Times New Roman" w:hAnsi="Times New Roman" w:cs="Times New Roman" w:hint="default"/>
        <w:spacing w:val="-3"/>
        <w:w w:val="99"/>
        <w:sz w:val="24"/>
        <w:szCs w:val="24"/>
      </w:rPr>
    </w:lvl>
    <w:lvl w:ilvl="2" w:tplc="FDF89C16">
      <w:numFmt w:val="bullet"/>
      <w:lvlText w:val="•"/>
      <w:lvlJc w:val="left"/>
      <w:pPr>
        <w:ind w:left="3168" w:hanging="1112"/>
      </w:pPr>
      <w:rPr>
        <w:rFonts w:hint="default"/>
      </w:rPr>
    </w:lvl>
    <w:lvl w:ilvl="3" w:tplc="7848F8DA">
      <w:numFmt w:val="bullet"/>
      <w:lvlText w:val="•"/>
      <w:lvlJc w:val="left"/>
      <w:pPr>
        <w:ind w:left="4277" w:hanging="1112"/>
      </w:pPr>
      <w:rPr>
        <w:rFonts w:hint="default"/>
      </w:rPr>
    </w:lvl>
    <w:lvl w:ilvl="4" w:tplc="63CE3CB6">
      <w:numFmt w:val="bullet"/>
      <w:lvlText w:val="•"/>
      <w:lvlJc w:val="left"/>
      <w:pPr>
        <w:ind w:left="5386" w:hanging="1112"/>
      </w:pPr>
      <w:rPr>
        <w:rFonts w:hint="default"/>
      </w:rPr>
    </w:lvl>
    <w:lvl w:ilvl="5" w:tplc="836C53F6">
      <w:numFmt w:val="bullet"/>
      <w:lvlText w:val="•"/>
      <w:lvlJc w:val="left"/>
      <w:pPr>
        <w:ind w:left="6495" w:hanging="1112"/>
      </w:pPr>
      <w:rPr>
        <w:rFonts w:hint="default"/>
      </w:rPr>
    </w:lvl>
    <w:lvl w:ilvl="6" w:tplc="815C3CC6">
      <w:numFmt w:val="bullet"/>
      <w:lvlText w:val="•"/>
      <w:lvlJc w:val="left"/>
      <w:pPr>
        <w:ind w:left="7604" w:hanging="1112"/>
      </w:pPr>
      <w:rPr>
        <w:rFonts w:hint="default"/>
      </w:rPr>
    </w:lvl>
    <w:lvl w:ilvl="7" w:tplc="CC08F25E">
      <w:numFmt w:val="bullet"/>
      <w:lvlText w:val="•"/>
      <w:lvlJc w:val="left"/>
      <w:pPr>
        <w:ind w:left="8713" w:hanging="1112"/>
      </w:pPr>
      <w:rPr>
        <w:rFonts w:hint="default"/>
      </w:rPr>
    </w:lvl>
    <w:lvl w:ilvl="8" w:tplc="B918853C">
      <w:numFmt w:val="bullet"/>
      <w:lvlText w:val="•"/>
      <w:lvlJc w:val="left"/>
      <w:pPr>
        <w:ind w:left="9822" w:hanging="1112"/>
      </w:pPr>
      <w:rPr>
        <w:rFonts w:hint="default"/>
      </w:rPr>
    </w:lvl>
  </w:abstractNum>
  <w:abstractNum w:abstractNumId="23" w15:restartNumberingAfterBreak="0">
    <w:nsid w:val="49AB5F36"/>
    <w:multiLevelType w:val="hybridMultilevel"/>
    <w:tmpl w:val="0324F532"/>
    <w:lvl w:ilvl="0" w:tplc="2B024E7A">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D981047"/>
    <w:multiLevelType w:val="hybridMultilevel"/>
    <w:tmpl w:val="6B446622"/>
    <w:lvl w:ilvl="0" w:tplc="AB4852BA">
      <w:start w:val="1"/>
      <w:numFmt w:val="upperLetter"/>
      <w:lvlText w:val="%1."/>
      <w:lvlJc w:val="left"/>
      <w:pPr>
        <w:ind w:left="1260" w:hanging="360"/>
      </w:pPr>
      <w:rPr>
        <w:rFonts w:hint="default"/>
        <w:b/>
        <w:bCs/>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4EEF78E5"/>
    <w:multiLevelType w:val="hybridMultilevel"/>
    <w:tmpl w:val="B6E297DC"/>
    <w:lvl w:ilvl="0" w:tplc="550AB1F6">
      <w:start w:val="6"/>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29552F8"/>
    <w:multiLevelType w:val="hybridMultilevel"/>
    <w:tmpl w:val="264A55C2"/>
    <w:lvl w:ilvl="0" w:tplc="BE28B21A">
      <w:start w:val="1"/>
      <w:numFmt w:val="decimal"/>
      <w:lvlText w:val="%1."/>
      <w:lvlJc w:val="left"/>
      <w:pPr>
        <w:ind w:left="1260" w:hanging="360"/>
      </w:pPr>
      <w:rPr>
        <w:rFonts w:hint="default"/>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530F2DA6"/>
    <w:multiLevelType w:val="hybridMultilevel"/>
    <w:tmpl w:val="B380A596"/>
    <w:lvl w:ilvl="0" w:tplc="0DD297B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41736D1"/>
    <w:multiLevelType w:val="hybridMultilevel"/>
    <w:tmpl w:val="904E8A34"/>
    <w:lvl w:ilvl="0" w:tplc="70EEB5D8">
      <w:start w:val="3"/>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9" w15:restartNumberingAfterBreak="0">
    <w:nsid w:val="6087691B"/>
    <w:multiLevelType w:val="hybridMultilevel"/>
    <w:tmpl w:val="FE989A3C"/>
    <w:lvl w:ilvl="0" w:tplc="184459F2">
      <w:start w:val="3"/>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62981DA1"/>
    <w:multiLevelType w:val="hybridMultilevel"/>
    <w:tmpl w:val="02028244"/>
    <w:lvl w:ilvl="0" w:tplc="D47C3CC4">
      <w:start w:val="1"/>
      <w:numFmt w:val="decimal"/>
      <w:lvlText w:val="%1."/>
      <w:lvlJc w:val="left"/>
      <w:pPr>
        <w:ind w:left="1800" w:hanging="360"/>
      </w:pPr>
      <w:rPr>
        <w:rFonts w:hint="default"/>
        <w:b/>
        <w:bCs/>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1" w15:restartNumberingAfterBreak="0">
    <w:nsid w:val="63B728A8"/>
    <w:multiLevelType w:val="hybridMultilevel"/>
    <w:tmpl w:val="1AE8AD94"/>
    <w:lvl w:ilvl="0" w:tplc="60C863C6">
      <w:start w:val="4"/>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66406F4D"/>
    <w:multiLevelType w:val="hybridMultilevel"/>
    <w:tmpl w:val="3FC6D9A4"/>
    <w:lvl w:ilvl="0" w:tplc="F46210AA">
      <w:start w:val="17"/>
      <w:numFmt w:val="decimal"/>
      <w:lvlText w:val="%1"/>
      <w:lvlJc w:val="left"/>
      <w:pPr>
        <w:ind w:left="1520" w:hanging="250"/>
      </w:pPr>
      <w:rPr>
        <w:rFonts w:ascii="Times New Roman" w:eastAsia="Times New Roman" w:hAnsi="Times New Roman" w:cs="Times New Roman" w:hint="default"/>
        <w:w w:val="99"/>
        <w:position w:val="4"/>
        <w:sz w:val="13"/>
        <w:szCs w:val="13"/>
      </w:rPr>
    </w:lvl>
    <w:lvl w:ilvl="1" w:tplc="9594FC30">
      <w:numFmt w:val="bullet"/>
      <w:lvlText w:val="•"/>
      <w:lvlJc w:val="left"/>
      <w:pPr>
        <w:ind w:left="2248" w:hanging="250"/>
      </w:pPr>
      <w:rPr>
        <w:rFonts w:hint="default"/>
      </w:rPr>
    </w:lvl>
    <w:lvl w:ilvl="2" w:tplc="4CA82DAC">
      <w:numFmt w:val="bullet"/>
      <w:lvlText w:val="•"/>
      <w:lvlJc w:val="left"/>
      <w:pPr>
        <w:ind w:left="2976" w:hanging="250"/>
      </w:pPr>
      <w:rPr>
        <w:rFonts w:hint="default"/>
      </w:rPr>
    </w:lvl>
    <w:lvl w:ilvl="3" w:tplc="73528EFC">
      <w:numFmt w:val="bullet"/>
      <w:lvlText w:val="•"/>
      <w:lvlJc w:val="left"/>
      <w:pPr>
        <w:ind w:left="3704" w:hanging="250"/>
      </w:pPr>
      <w:rPr>
        <w:rFonts w:hint="default"/>
      </w:rPr>
    </w:lvl>
    <w:lvl w:ilvl="4" w:tplc="EDD6D49E">
      <w:numFmt w:val="bullet"/>
      <w:lvlText w:val="•"/>
      <w:lvlJc w:val="left"/>
      <w:pPr>
        <w:ind w:left="4432" w:hanging="250"/>
      </w:pPr>
      <w:rPr>
        <w:rFonts w:hint="default"/>
      </w:rPr>
    </w:lvl>
    <w:lvl w:ilvl="5" w:tplc="5D2CCC20">
      <w:numFmt w:val="bullet"/>
      <w:lvlText w:val="•"/>
      <w:lvlJc w:val="left"/>
      <w:pPr>
        <w:ind w:left="5160" w:hanging="250"/>
      </w:pPr>
      <w:rPr>
        <w:rFonts w:hint="default"/>
      </w:rPr>
    </w:lvl>
    <w:lvl w:ilvl="6" w:tplc="7BF27C56">
      <w:numFmt w:val="bullet"/>
      <w:lvlText w:val="•"/>
      <w:lvlJc w:val="left"/>
      <w:pPr>
        <w:ind w:left="5888" w:hanging="250"/>
      </w:pPr>
      <w:rPr>
        <w:rFonts w:hint="default"/>
      </w:rPr>
    </w:lvl>
    <w:lvl w:ilvl="7" w:tplc="5DBA16A2">
      <w:numFmt w:val="bullet"/>
      <w:lvlText w:val="•"/>
      <w:lvlJc w:val="left"/>
      <w:pPr>
        <w:ind w:left="6616" w:hanging="250"/>
      </w:pPr>
      <w:rPr>
        <w:rFonts w:hint="default"/>
      </w:rPr>
    </w:lvl>
    <w:lvl w:ilvl="8" w:tplc="824C21D2">
      <w:numFmt w:val="bullet"/>
      <w:lvlText w:val="•"/>
      <w:lvlJc w:val="left"/>
      <w:pPr>
        <w:ind w:left="7344" w:hanging="250"/>
      </w:pPr>
      <w:rPr>
        <w:rFonts w:hint="default"/>
      </w:rPr>
    </w:lvl>
  </w:abstractNum>
  <w:abstractNum w:abstractNumId="33" w15:restartNumberingAfterBreak="0">
    <w:nsid w:val="6D4A78BC"/>
    <w:multiLevelType w:val="multilevel"/>
    <w:tmpl w:val="4BB6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9F29E1"/>
    <w:multiLevelType w:val="hybridMultilevel"/>
    <w:tmpl w:val="434066C8"/>
    <w:lvl w:ilvl="0" w:tplc="306C1BD0">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F6F4715"/>
    <w:multiLevelType w:val="hybridMultilevel"/>
    <w:tmpl w:val="909A0C88"/>
    <w:lvl w:ilvl="0" w:tplc="F24285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3641CEC"/>
    <w:multiLevelType w:val="hybridMultilevel"/>
    <w:tmpl w:val="81E6BF34"/>
    <w:lvl w:ilvl="0" w:tplc="9DE001AC">
      <w:start w:val="1"/>
      <w:numFmt w:val="decimal"/>
      <w:lvlText w:val="%1"/>
      <w:lvlJc w:val="left"/>
      <w:pPr>
        <w:ind w:left="3920" w:hanging="3648"/>
        <w:jc w:val="right"/>
      </w:pPr>
      <w:rPr>
        <w:rFonts w:ascii="Times New Roman" w:eastAsia="Times New Roman" w:hAnsi="Times New Roman" w:cs="Times New Roman" w:hint="default"/>
        <w:w w:val="99"/>
        <w:sz w:val="24"/>
        <w:szCs w:val="24"/>
        <w:lang w:val="en-US" w:eastAsia="en-US" w:bidi="en-US"/>
      </w:rPr>
    </w:lvl>
    <w:lvl w:ilvl="1" w:tplc="61C8B578">
      <w:start w:val="1"/>
      <w:numFmt w:val="decimal"/>
      <w:lvlText w:val="%2"/>
      <w:lvlJc w:val="left"/>
      <w:pPr>
        <w:ind w:left="2480" w:hanging="2208"/>
        <w:jc w:val="right"/>
      </w:pPr>
      <w:rPr>
        <w:rFonts w:ascii="Times New Roman" w:eastAsia="Times New Roman" w:hAnsi="Times New Roman" w:cs="Times New Roman" w:hint="default"/>
        <w:spacing w:val="-19"/>
        <w:w w:val="99"/>
        <w:sz w:val="24"/>
        <w:szCs w:val="24"/>
        <w:lang w:val="en-US" w:eastAsia="en-US" w:bidi="en-US"/>
      </w:rPr>
    </w:lvl>
    <w:lvl w:ilvl="2" w:tplc="702A79D0">
      <w:start w:val="1"/>
      <w:numFmt w:val="decimal"/>
      <w:lvlText w:val="%3"/>
      <w:lvlJc w:val="left"/>
      <w:pPr>
        <w:ind w:left="1264" w:hanging="992"/>
        <w:jc w:val="right"/>
      </w:pPr>
      <w:rPr>
        <w:rFonts w:ascii="Times New Roman" w:eastAsia="Times New Roman" w:hAnsi="Times New Roman" w:cs="Times New Roman" w:hint="default"/>
        <w:spacing w:val="-19"/>
        <w:w w:val="99"/>
        <w:sz w:val="24"/>
        <w:szCs w:val="24"/>
        <w:lang w:val="en-US" w:eastAsia="en-US" w:bidi="en-US"/>
      </w:rPr>
    </w:lvl>
    <w:lvl w:ilvl="3" w:tplc="94DC61E2">
      <w:start w:val="1"/>
      <w:numFmt w:val="decimal"/>
      <w:lvlText w:val="%4"/>
      <w:lvlJc w:val="left"/>
      <w:pPr>
        <w:ind w:left="1264" w:hanging="992"/>
        <w:jc w:val="right"/>
      </w:pPr>
      <w:rPr>
        <w:rFonts w:ascii="Times New Roman" w:eastAsia="Times New Roman" w:hAnsi="Times New Roman" w:cs="Times New Roman" w:hint="default"/>
        <w:spacing w:val="-19"/>
        <w:w w:val="99"/>
        <w:sz w:val="24"/>
        <w:szCs w:val="24"/>
        <w:lang w:val="en-US" w:eastAsia="en-US" w:bidi="en-US"/>
      </w:rPr>
    </w:lvl>
    <w:lvl w:ilvl="4" w:tplc="86BA356E">
      <w:numFmt w:val="bullet"/>
      <w:lvlText w:val="•"/>
      <w:lvlJc w:val="left"/>
      <w:pPr>
        <w:ind w:left="4802" w:hanging="992"/>
      </w:pPr>
      <w:rPr>
        <w:rFonts w:hint="default"/>
        <w:lang w:val="en-US" w:eastAsia="en-US" w:bidi="en-US"/>
      </w:rPr>
    </w:lvl>
    <w:lvl w:ilvl="5" w:tplc="0700ECF0">
      <w:numFmt w:val="bullet"/>
      <w:lvlText w:val="•"/>
      <w:lvlJc w:val="left"/>
      <w:pPr>
        <w:ind w:left="5685" w:hanging="992"/>
      </w:pPr>
      <w:rPr>
        <w:rFonts w:hint="default"/>
        <w:lang w:val="en-US" w:eastAsia="en-US" w:bidi="en-US"/>
      </w:rPr>
    </w:lvl>
    <w:lvl w:ilvl="6" w:tplc="66D8D0E0">
      <w:numFmt w:val="bullet"/>
      <w:lvlText w:val="•"/>
      <w:lvlJc w:val="left"/>
      <w:pPr>
        <w:ind w:left="6568" w:hanging="992"/>
      </w:pPr>
      <w:rPr>
        <w:rFonts w:hint="default"/>
        <w:lang w:val="en-US" w:eastAsia="en-US" w:bidi="en-US"/>
      </w:rPr>
    </w:lvl>
    <w:lvl w:ilvl="7" w:tplc="D24640C0">
      <w:numFmt w:val="bullet"/>
      <w:lvlText w:val="•"/>
      <w:lvlJc w:val="left"/>
      <w:pPr>
        <w:ind w:left="7451" w:hanging="992"/>
      </w:pPr>
      <w:rPr>
        <w:rFonts w:hint="default"/>
        <w:lang w:val="en-US" w:eastAsia="en-US" w:bidi="en-US"/>
      </w:rPr>
    </w:lvl>
    <w:lvl w:ilvl="8" w:tplc="649C3620">
      <w:numFmt w:val="bullet"/>
      <w:lvlText w:val="•"/>
      <w:lvlJc w:val="left"/>
      <w:pPr>
        <w:ind w:left="8334" w:hanging="992"/>
      </w:pPr>
      <w:rPr>
        <w:rFonts w:hint="default"/>
        <w:lang w:val="en-US" w:eastAsia="en-US" w:bidi="en-US"/>
      </w:rPr>
    </w:lvl>
  </w:abstractNum>
  <w:abstractNum w:abstractNumId="37" w15:restartNumberingAfterBreak="0">
    <w:nsid w:val="79882FB5"/>
    <w:multiLevelType w:val="hybridMultilevel"/>
    <w:tmpl w:val="DECCB326"/>
    <w:lvl w:ilvl="0" w:tplc="F5B26CB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B56B86"/>
    <w:multiLevelType w:val="hybridMultilevel"/>
    <w:tmpl w:val="05E0BDBE"/>
    <w:lvl w:ilvl="0" w:tplc="A8FC51E8">
      <w:start w:val="1"/>
      <w:numFmt w:val="upperLetter"/>
      <w:lvlText w:val="%1."/>
      <w:lvlJc w:val="left"/>
      <w:pPr>
        <w:ind w:left="1620" w:hanging="360"/>
      </w:pPr>
      <w:rPr>
        <w:rFonts w:hint="default"/>
        <w:b/>
        <w:bCs/>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7FD56A79"/>
    <w:multiLevelType w:val="hybridMultilevel"/>
    <w:tmpl w:val="2A6A723C"/>
    <w:lvl w:ilvl="0" w:tplc="F04C25A8">
      <w:start w:val="5"/>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5"/>
  </w:num>
  <w:num w:numId="2">
    <w:abstractNumId w:val="23"/>
  </w:num>
  <w:num w:numId="3">
    <w:abstractNumId w:val="14"/>
  </w:num>
  <w:num w:numId="4">
    <w:abstractNumId w:val="11"/>
  </w:num>
  <w:num w:numId="5">
    <w:abstractNumId w:val="19"/>
  </w:num>
  <w:num w:numId="6">
    <w:abstractNumId w:val="7"/>
  </w:num>
  <w:num w:numId="7">
    <w:abstractNumId w:val="17"/>
  </w:num>
  <w:num w:numId="8">
    <w:abstractNumId w:val="12"/>
  </w:num>
  <w:num w:numId="9">
    <w:abstractNumId w:val="30"/>
  </w:num>
  <w:num w:numId="10">
    <w:abstractNumId w:val="9"/>
  </w:num>
  <w:num w:numId="11">
    <w:abstractNumId w:val="1"/>
  </w:num>
  <w:num w:numId="12">
    <w:abstractNumId w:val="20"/>
  </w:num>
  <w:num w:numId="13">
    <w:abstractNumId w:val="13"/>
  </w:num>
  <w:num w:numId="14">
    <w:abstractNumId w:val="0"/>
  </w:num>
  <w:num w:numId="15">
    <w:abstractNumId w:val="2"/>
  </w:num>
  <w:num w:numId="16">
    <w:abstractNumId w:val="25"/>
  </w:num>
  <w:num w:numId="17">
    <w:abstractNumId w:val="27"/>
  </w:num>
  <w:num w:numId="18">
    <w:abstractNumId w:val="26"/>
  </w:num>
  <w:num w:numId="19">
    <w:abstractNumId w:val="29"/>
  </w:num>
  <w:num w:numId="20">
    <w:abstractNumId w:val="4"/>
  </w:num>
  <w:num w:numId="21">
    <w:abstractNumId w:val="34"/>
  </w:num>
  <w:num w:numId="22">
    <w:abstractNumId w:val="39"/>
  </w:num>
  <w:num w:numId="23">
    <w:abstractNumId w:val="37"/>
  </w:num>
  <w:num w:numId="24">
    <w:abstractNumId w:val="21"/>
  </w:num>
  <w:num w:numId="25">
    <w:abstractNumId w:val="3"/>
  </w:num>
  <w:num w:numId="26">
    <w:abstractNumId w:val="10"/>
  </w:num>
  <w:num w:numId="27">
    <w:abstractNumId w:val="33"/>
  </w:num>
  <w:num w:numId="28">
    <w:abstractNumId w:val="22"/>
  </w:num>
  <w:num w:numId="29">
    <w:abstractNumId w:val="31"/>
  </w:num>
  <w:num w:numId="30">
    <w:abstractNumId w:val="5"/>
  </w:num>
  <w:num w:numId="31">
    <w:abstractNumId w:val="38"/>
  </w:num>
  <w:num w:numId="32">
    <w:abstractNumId w:val="15"/>
  </w:num>
  <w:num w:numId="33">
    <w:abstractNumId w:val="24"/>
  </w:num>
  <w:num w:numId="34">
    <w:abstractNumId w:val="6"/>
  </w:num>
  <w:num w:numId="35">
    <w:abstractNumId w:val="28"/>
  </w:num>
  <w:num w:numId="36">
    <w:abstractNumId w:val="32"/>
  </w:num>
  <w:num w:numId="37">
    <w:abstractNumId w:val="18"/>
  </w:num>
  <w:num w:numId="38">
    <w:abstractNumId w:val="8"/>
  </w:num>
  <w:num w:numId="39">
    <w:abstractNumId w:val="36"/>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847"/>
    <w:rsid w:val="00001A4D"/>
    <w:rsid w:val="0000239C"/>
    <w:rsid w:val="00002DF4"/>
    <w:rsid w:val="00004036"/>
    <w:rsid w:val="000041EB"/>
    <w:rsid w:val="00004272"/>
    <w:rsid w:val="00004A73"/>
    <w:rsid w:val="0000781A"/>
    <w:rsid w:val="00013575"/>
    <w:rsid w:val="00014A4D"/>
    <w:rsid w:val="00017B50"/>
    <w:rsid w:val="000204F5"/>
    <w:rsid w:val="00020DC8"/>
    <w:rsid w:val="00021E94"/>
    <w:rsid w:val="00021F27"/>
    <w:rsid w:val="00022378"/>
    <w:rsid w:val="00022488"/>
    <w:rsid w:val="00022AC4"/>
    <w:rsid w:val="00023237"/>
    <w:rsid w:val="00024CA5"/>
    <w:rsid w:val="00024CDD"/>
    <w:rsid w:val="000263AE"/>
    <w:rsid w:val="00027590"/>
    <w:rsid w:val="000277E0"/>
    <w:rsid w:val="000278E5"/>
    <w:rsid w:val="0003309B"/>
    <w:rsid w:val="00044819"/>
    <w:rsid w:val="000453CE"/>
    <w:rsid w:val="00046D76"/>
    <w:rsid w:val="00052748"/>
    <w:rsid w:val="00055BF1"/>
    <w:rsid w:val="00055F19"/>
    <w:rsid w:val="0006202D"/>
    <w:rsid w:val="000638C5"/>
    <w:rsid w:val="00063995"/>
    <w:rsid w:val="00064256"/>
    <w:rsid w:val="000648A2"/>
    <w:rsid w:val="00064AE6"/>
    <w:rsid w:val="00066A6B"/>
    <w:rsid w:val="00072BBF"/>
    <w:rsid w:val="00074119"/>
    <w:rsid w:val="00075623"/>
    <w:rsid w:val="0007709C"/>
    <w:rsid w:val="0008067D"/>
    <w:rsid w:val="00080F77"/>
    <w:rsid w:val="00081D32"/>
    <w:rsid w:val="00082C6E"/>
    <w:rsid w:val="00083A34"/>
    <w:rsid w:val="000848CF"/>
    <w:rsid w:val="00090F92"/>
    <w:rsid w:val="00092877"/>
    <w:rsid w:val="00093ED5"/>
    <w:rsid w:val="00094872"/>
    <w:rsid w:val="000948BD"/>
    <w:rsid w:val="000A27F7"/>
    <w:rsid w:val="000A2D92"/>
    <w:rsid w:val="000A3979"/>
    <w:rsid w:val="000A5AD2"/>
    <w:rsid w:val="000A630D"/>
    <w:rsid w:val="000A661D"/>
    <w:rsid w:val="000B0240"/>
    <w:rsid w:val="000B1090"/>
    <w:rsid w:val="000B20C0"/>
    <w:rsid w:val="000B2DA8"/>
    <w:rsid w:val="000B7043"/>
    <w:rsid w:val="000B7D9C"/>
    <w:rsid w:val="000C2B1F"/>
    <w:rsid w:val="000C3500"/>
    <w:rsid w:val="000C52DE"/>
    <w:rsid w:val="000C54EA"/>
    <w:rsid w:val="000C6FFE"/>
    <w:rsid w:val="000D0C35"/>
    <w:rsid w:val="000D11C7"/>
    <w:rsid w:val="000D532D"/>
    <w:rsid w:val="000D5B1A"/>
    <w:rsid w:val="000E236F"/>
    <w:rsid w:val="000E39AE"/>
    <w:rsid w:val="000E4E4D"/>
    <w:rsid w:val="000E532F"/>
    <w:rsid w:val="000E5C5A"/>
    <w:rsid w:val="000E5FF6"/>
    <w:rsid w:val="000F0622"/>
    <w:rsid w:val="000F0E3E"/>
    <w:rsid w:val="000F60FE"/>
    <w:rsid w:val="000F7F65"/>
    <w:rsid w:val="00100462"/>
    <w:rsid w:val="00101B5E"/>
    <w:rsid w:val="0010323C"/>
    <w:rsid w:val="0011081E"/>
    <w:rsid w:val="00110E71"/>
    <w:rsid w:val="0011189B"/>
    <w:rsid w:val="00114B11"/>
    <w:rsid w:val="00114CB8"/>
    <w:rsid w:val="00115066"/>
    <w:rsid w:val="00115395"/>
    <w:rsid w:val="001164E3"/>
    <w:rsid w:val="00117282"/>
    <w:rsid w:val="00121221"/>
    <w:rsid w:val="00123569"/>
    <w:rsid w:val="001239D3"/>
    <w:rsid w:val="00124B1A"/>
    <w:rsid w:val="00125164"/>
    <w:rsid w:val="0012676F"/>
    <w:rsid w:val="00126C1D"/>
    <w:rsid w:val="00130689"/>
    <w:rsid w:val="001324E0"/>
    <w:rsid w:val="00132CF1"/>
    <w:rsid w:val="00134F8C"/>
    <w:rsid w:val="00136181"/>
    <w:rsid w:val="00137022"/>
    <w:rsid w:val="001404C9"/>
    <w:rsid w:val="001446AF"/>
    <w:rsid w:val="0014485D"/>
    <w:rsid w:val="00144D48"/>
    <w:rsid w:val="001450F0"/>
    <w:rsid w:val="00145FD0"/>
    <w:rsid w:val="001522DF"/>
    <w:rsid w:val="00156900"/>
    <w:rsid w:val="001628CA"/>
    <w:rsid w:val="001630E7"/>
    <w:rsid w:val="00164D6B"/>
    <w:rsid w:val="00166409"/>
    <w:rsid w:val="00166609"/>
    <w:rsid w:val="001669B8"/>
    <w:rsid w:val="001679C2"/>
    <w:rsid w:val="00173FE8"/>
    <w:rsid w:val="001744A3"/>
    <w:rsid w:val="00175ED9"/>
    <w:rsid w:val="00184D38"/>
    <w:rsid w:val="0018606D"/>
    <w:rsid w:val="001875E3"/>
    <w:rsid w:val="00187824"/>
    <w:rsid w:val="00187A37"/>
    <w:rsid w:val="00191DEF"/>
    <w:rsid w:val="00193EF7"/>
    <w:rsid w:val="00194591"/>
    <w:rsid w:val="00195718"/>
    <w:rsid w:val="00196FCB"/>
    <w:rsid w:val="00197280"/>
    <w:rsid w:val="001A1C76"/>
    <w:rsid w:val="001A27B3"/>
    <w:rsid w:val="001A426F"/>
    <w:rsid w:val="001A701B"/>
    <w:rsid w:val="001A72C2"/>
    <w:rsid w:val="001A788F"/>
    <w:rsid w:val="001B0640"/>
    <w:rsid w:val="001B0852"/>
    <w:rsid w:val="001B0C41"/>
    <w:rsid w:val="001B0D86"/>
    <w:rsid w:val="001B223A"/>
    <w:rsid w:val="001B3A40"/>
    <w:rsid w:val="001B5BB9"/>
    <w:rsid w:val="001B5CB1"/>
    <w:rsid w:val="001B7440"/>
    <w:rsid w:val="001B75D3"/>
    <w:rsid w:val="001C0E3B"/>
    <w:rsid w:val="001C3031"/>
    <w:rsid w:val="001C4D9B"/>
    <w:rsid w:val="001C4FDB"/>
    <w:rsid w:val="001D0038"/>
    <w:rsid w:val="001D133A"/>
    <w:rsid w:val="001D2D13"/>
    <w:rsid w:val="001D5705"/>
    <w:rsid w:val="001D6128"/>
    <w:rsid w:val="001E0974"/>
    <w:rsid w:val="001E0F2D"/>
    <w:rsid w:val="001E2522"/>
    <w:rsid w:val="001E36CB"/>
    <w:rsid w:val="001E3E7B"/>
    <w:rsid w:val="001E54C9"/>
    <w:rsid w:val="001E6FAD"/>
    <w:rsid w:val="001E7C6C"/>
    <w:rsid w:val="001F1F50"/>
    <w:rsid w:val="001F213A"/>
    <w:rsid w:val="001F2C46"/>
    <w:rsid w:val="001F3584"/>
    <w:rsid w:val="00200717"/>
    <w:rsid w:val="002007E9"/>
    <w:rsid w:val="00205001"/>
    <w:rsid w:val="00205294"/>
    <w:rsid w:val="00205FCA"/>
    <w:rsid w:val="00207408"/>
    <w:rsid w:val="00207D6B"/>
    <w:rsid w:val="00212213"/>
    <w:rsid w:val="002128A3"/>
    <w:rsid w:val="002136C8"/>
    <w:rsid w:val="002136D6"/>
    <w:rsid w:val="00213C37"/>
    <w:rsid w:val="002149E5"/>
    <w:rsid w:val="00214EC2"/>
    <w:rsid w:val="002167D0"/>
    <w:rsid w:val="002200BF"/>
    <w:rsid w:val="002203B5"/>
    <w:rsid w:val="00224313"/>
    <w:rsid w:val="00224957"/>
    <w:rsid w:val="002249FF"/>
    <w:rsid w:val="00225AE1"/>
    <w:rsid w:val="00226761"/>
    <w:rsid w:val="0022780F"/>
    <w:rsid w:val="00230181"/>
    <w:rsid w:val="00231C8A"/>
    <w:rsid w:val="00231DA1"/>
    <w:rsid w:val="0023226A"/>
    <w:rsid w:val="002327CE"/>
    <w:rsid w:val="002343E0"/>
    <w:rsid w:val="00234507"/>
    <w:rsid w:val="00236332"/>
    <w:rsid w:val="00236435"/>
    <w:rsid w:val="002378CD"/>
    <w:rsid w:val="00240948"/>
    <w:rsid w:val="00240E9F"/>
    <w:rsid w:val="00244BB6"/>
    <w:rsid w:val="00247CB1"/>
    <w:rsid w:val="00251769"/>
    <w:rsid w:val="002522C9"/>
    <w:rsid w:val="0025296C"/>
    <w:rsid w:val="0025302A"/>
    <w:rsid w:val="00253D10"/>
    <w:rsid w:val="002559EA"/>
    <w:rsid w:val="002569CF"/>
    <w:rsid w:val="002605EB"/>
    <w:rsid w:val="002625CC"/>
    <w:rsid w:val="00265799"/>
    <w:rsid w:val="002659ED"/>
    <w:rsid w:val="00267D3B"/>
    <w:rsid w:val="0027016D"/>
    <w:rsid w:val="002701AB"/>
    <w:rsid w:val="00271BDD"/>
    <w:rsid w:val="00273BFC"/>
    <w:rsid w:val="002746C6"/>
    <w:rsid w:val="00276469"/>
    <w:rsid w:val="00280816"/>
    <w:rsid w:val="002816A1"/>
    <w:rsid w:val="00281711"/>
    <w:rsid w:val="00282C7E"/>
    <w:rsid w:val="00285263"/>
    <w:rsid w:val="00285E52"/>
    <w:rsid w:val="00287452"/>
    <w:rsid w:val="00287ECE"/>
    <w:rsid w:val="0029152C"/>
    <w:rsid w:val="00291AF6"/>
    <w:rsid w:val="0029425D"/>
    <w:rsid w:val="00295E54"/>
    <w:rsid w:val="002976CF"/>
    <w:rsid w:val="002A1593"/>
    <w:rsid w:val="002A4D7B"/>
    <w:rsid w:val="002B286E"/>
    <w:rsid w:val="002B3C40"/>
    <w:rsid w:val="002B592E"/>
    <w:rsid w:val="002B6723"/>
    <w:rsid w:val="002B7BD2"/>
    <w:rsid w:val="002C1A03"/>
    <w:rsid w:val="002C38C2"/>
    <w:rsid w:val="002C4FF6"/>
    <w:rsid w:val="002C66BF"/>
    <w:rsid w:val="002C7223"/>
    <w:rsid w:val="002C72CA"/>
    <w:rsid w:val="002C7F95"/>
    <w:rsid w:val="002D1012"/>
    <w:rsid w:val="002D2D62"/>
    <w:rsid w:val="002D308A"/>
    <w:rsid w:val="002D365B"/>
    <w:rsid w:val="002D3AAE"/>
    <w:rsid w:val="002D3E73"/>
    <w:rsid w:val="002D5C0A"/>
    <w:rsid w:val="002D5D43"/>
    <w:rsid w:val="002D7D9D"/>
    <w:rsid w:val="002E2622"/>
    <w:rsid w:val="002E39B3"/>
    <w:rsid w:val="002E59CF"/>
    <w:rsid w:val="002E73A4"/>
    <w:rsid w:val="002F3571"/>
    <w:rsid w:val="002F55CB"/>
    <w:rsid w:val="002F5B21"/>
    <w:rsid w:val="002F5DFA"/>
    <w:rsid w:val="002F6E87"/>
    <w:rsid w:val="00300302"/>
    <w:rsid w:val="00301AA0"/>
    <w:rsid w:val="00306BEC"/>
    <w:rsid w:val="00307EFB"/>
    <w:rsid w:val="0031008A"/>
    <w:rsid w:val="0031100A"/>
    <w:rsid w:val="00315B4A"/>
    <w:rsid w:val="00316B0D"/>
    <w:rsid w:val="00317ABB"/>
    <w:rsid w:val="00320A08"/>
    <w:rsid w:val="00320ADF"/>
    <w:rsid w:val="0032235A"/>
    <w:rsid w:val="00327B23"/>
    <w:rsid w:val="003334CB"/>
    <w:rsid w:val="003360E6"/>
    <w:rsid w:val="0034063C"/>
    <w:rsid w:val="00341BE9"/>
    <w:rsid w:val="0034418F"/>
    <w:rsid w:val="00344486"/>
    <w:rsid w:val="003453DD"/>
    <w:rsid w:val="00345B74"/>
    <w:rsid w:val="00346AAB"/>
    <w:rsid w:val="00346B2A"/>
    <w:rsid w:val="003510B3"/>
    <w:rsid w:val="00351670"/>
    <w:rsid w:val="003517D8"/>
    <w:rsid w:val="0035212D"/>
    <w:rsid w:val="003539C1"/>
    <w:rsid w:val="00354222"/>
    <w:rsid w:val="00354282"/>
    <w:rsid w:val="00354CF0"/>
    <w:rsid w:val="00355096"/>
    <w:rsid w:val="003560B9"/>
    <w:rsid w:val="003561B4"/>
    <w:rsid w:val="003574FD"/>
    <w:rsid w:val="00362437"/>
    <w:rsid w:val="00362580"/>
    <w:rsid w:val="0036443C"/>
    <w:rsid w:val="003661C4"/>
    <w:rsid w:val="00370001"/>
    <w:rsid w:val="00370327"/>
    <w:rsid w:val="003722A1"/>
    <w:rsid w:val="0037423E"/>
    <w:rsid w:val="003745E0"/>
    <w:rsid w:val="0037739D"/>
    <w:rsid w:val="0038168F"/>
    <w:rsid w:val="00384A82"/>
    <w:rsid w:val="00385781"/>
    <w:rsid w:val="00385E87"/>
    <w:rsid w:val="003864F8"/>
    <w:rsid w:val="003867FE"/>
    <w:rsid w:val="00390E14"/>
    <w:rsid w:val="003935E9"/>
    <w:rsid w:val="00393F2A"/>
    <w:rsid w:val="00394C73"/>
    <w:rsid w:val="00395661"/>
    <w:rsid w:val="00395823"/>
    <w:rsid w:val="00395973"/>
    <w:rsid w:val="00396631"/>
    <w:rsid w:val="0039797A"/>
    <w:rsid w:val="003A0D86"/>
    <w:rsid w:val="003A0DA8"/>
    <w:rsid w:val="003A0DB5"/>
    <w:rsid w:val="003A1F02"/>
    <w:rsid w:val="003A53C5"/>
    <w:rsid w:val="003A55DC"/>
    <w:rsid w:val="003A5A66"/>
    <w:rsid w:val="003A717B"/>
    <w:rsid w:val="003A7244"/>
    <w:rsid w:val="003B16F3"/>
    <w:rsid w:val="003B181F"/>
    <w:rsid w:val="003B50D1"/>
    <w:rsid w:val="003B5577"/>
    <w:rsid w:val="003B6697"/>
    <w:rsid w:val="003C1996"/>
    <w:rsid w:val="003C1AAF"/>
    <w:rsid w:val="003C1D51"/>
    <w:rsid w:val="003C557E"/>
    <w:rsid w:val="003D0A17"/>
    <w:rsid w:val="003D11F4"/>
    <w:rsid w:val="003D7CE6"/>
    <w:rsid w:val="003E31D3"/>
    <w:rsid w:val="003E3D72"/>
    <w:rsid w:val="003E44F2"/>
    <w:rsid w:val="003E5807"/>
    <w:rsid w:val="003E5858"/>
    <w:rsid w:val="003E5DB5"/>
    <w:rsid w:val="003F02E7"/>
    <w:rsid w:val="003F0C98"/>
    <w:rsid w:val="003F1D47"/>
    <w:rsid w:val="003F29EF"/>
    <w:rsid w:val="003F3D5E"/>
    <w:rsid w:val="003F41DC"/>
    <w:rsid w:val="003F4A4B"/>
    <w:rsid w:val="003F4C70"/>
    <w:rsid w:val="003F55BC"/>
    <w:rsid w:val="003F6F3F"/>
    <w:rsid w:val="00401159"/>
    <w:rsid w:val="00401423"/>
    <w:rsid w:val="00403005"/>
    <w:rsid w:val="0040468B"/>
    <w:rsid w:val="00404FD9"/>
    <w:rsid w:val="004054C7"/>
    <w:rsid w:val="00406D30"/>
    <w:rsid w:val="00407979"/>
    <w:rsid w:val="0041003E"/>
    <w:rsid w:val="00410309"/>
    <w:rsid w:val="00410451"/>
    <w:rsid w:val="0041307B"/>
    <w:rsid w:val="00413199"/>
    <w:rsid w:val="004144DB"/>
    <w:rsid w:val="0041723F"/>
    <w:rsid w:val="004233B2"/>
    <w:rsid w:val="0042398D"/>
    <w:rsid w:val="00425EC0"/>
    <w:rsid w:val="00426911"/>
    <w:rsid w:val="00430644"/>
    <w:rsid w:val="00431D60"/>
    <w:rsid w:val="00432341"/>
    <w:rsid w:val="004324DD"/>
    <w:rsid w:val="004327CB"/>
    <w:rsid w:val="004337B8"/>
    <w:rsid w:val="00435762"/>
    <w:rsid w:val="00436B33"/>
    <w:rsid w:val="00436B8F"/>
    <w:rsid w:val="00440B67"/>
    <w:rsid w:val="00442A43"/>
    <w:rsid w:val="00443AE8"/>
    <w:rsid w:val="00443F7A"/>
    <w:rsid w:val="00444D41"/>
    <w:rsid w:val="004453AE"/>
    <w:rsid w:val="00445A7A"/>
    <w:rsid w:val="00452634"/>
    <w:rsid w:val="004546D0"/>
    <w:rsid w:val="004555AE"/>
    <w:rsid w:val="00457AD6"/>
    <w:rsid w:val="00460A2D"/>
    <w:rsid w:val="00460FDE"/>
    <w:rsid w:val="00462E27"/>
    <w:rsid w:val="00463B6B"/>
    <w:rsid w:val="00464212"/>
    <w:rsid w:val="0046695E"/>
    <w:rsid w:val="00470D98"/>
    <w:rsid w:val="0047238B"/>
    <w:rsid w:val="00472BE2"/>
    <w:rsid w:val="00473A48"/>
    <w:rsid w:val="00473CB0"/>
    <w:rsid w:val="00476F85"/>
    <w:rsid w:val="004802F2"/>
    <w:rsid w:val="00480D81"/>
    <w:rsid w:val="00481AF5"/>
    <w:rsid w:val="004837D1"/>
    <w:rsid w:val="004850DA"/>
    <w:rsid w:val="00486AB1"/>
    <w:rsid w:val="00486AFD"/>
    <w:rsid w:val="004911CB"/>
    <w:rsid w:val="00491924"/>
    <w:rsid w:val="00491F59"/>
    <w:rsid w:val="00495CC1"/>
    <w:rsid w:val="0049642D"/>
    <w:rsid w:val="004A24DA"/>
    <w:rsid w:val="004A32BF"/>
    <w:rsid w:val="004A3AD7"/>
    <w:rsid w:val="004B13CF"/>
    <w:rsid w:val="004B1555"/>
    <w:rsid w:val="004B4780"/>
    <w:rsid w:val="004B6E0B"/>
    <w:rsid w:val="004B7AEA"/>
    <w:rsid w:val="004C59F6"/>
    <w:rsid w:val="004C5EAF"/>
    <w:rsid w:val="004C6835"/>
    <w:rsid w:val="004D0E7D"/>
    <w:rsid w:val="004D3410"/>
    <w:rsid w:val="004D3A59"/>
    <w:rsid w:val="004D3B63"/>
    <w:rsid w:val="004D624E"/>
    <w:rsid w:val="004D77C7"/>
    <w:rsid w:val="004E0FDB"/>
    <w:rsid w:val="004E19D2"/>
    <w:rsid w:val="004E1C6D"/>
    <w:rsid w:val="004E1E85"/>
    <w:rsid w:val="004E26DF"/>
    <w:rsid w:val="004E3523"/>
    <w:rsid w:val="004E507C"/>
    <w:rsid w:val="004E77DD"/>
    <w:rsid w:val="004F3B8C"/>
    <w:rsid w:val="004F449D"/>
    <w:rsid w:val="004F60EA"/>
    <w:rsid w:val="004F61F4"/>
    <w:rsid w:val="004F73CA"/>
    <w:rsid w:val="00500992"/>
    <w:rsid w:val="00500D39"/>
    <w:rsid w:val="00502DD1"/>
    <w:rsid w:val="00503955"/>
    <w:rsid w:val="005039D1"/>
    <w:rsid w:val="0050566D"/>
    <w:rsid w:val="00505A28"/>
    <w:rsid w:val="00506BFD"/>
    <w:rsid w:val="005100E6"/>
    <w:rsid w:val="00515033"/>
    <w:rsid w:val="00515B0A"/>
    <w:rsid w:val="0051625C"/>
    <w:rsid w:val="0051694A"/>
    <w:rsid w:val="0051796E"/>
    <w:rsid w:val="00520CD1"/>
    <w:rsid w:val="00520F13"/>
    <w:rsid w:val="005232C2"/>
    <w:rsid w:val="00523E55"/>
    <w:rsid w:val="00526929"/>
    <w:rsid w:val="00527B69"/>
    <w:rsid w:val="00533113"/>
    <w:rsid w:val="0053363E"/>
    <w:rsid w:val="00533672"/>
    <w:rsid w:val="00533BE3"/>
    <w:rsid w:val="00533BE8"/>
    <w:rsid w:val="0053402F"/>
    <w:rsid w:val="00535B3A"/>
    <w:rsid w:val="00535C92"/>
    <w:rsid w:val="00535D85"/>
    <w:rsid w:val="00535F20"/>
    <w:rsid w:val="0053730C"/>
    <w:rsid w:val="005400CE"/>
    <w:rsid w:val="005403DF"/>
    <w:rsid w:val="00540AF2"/>
    <w:rsid w:val="00547C8E"/>
    <w:rsid w:val="0055006D"/>
    <w:rsid w:val="00550B01"/>
    <w:rsid w:val="00552A8A"/>
    <w:rsid w:val="00552B76"/>
    <w:rsid w:val="00552F1F"/>
    <w:rsid w:val="00553AB3"/>
    <w:rsid w:val="005553C3"/>
    <w:rsid w:val="00555782"/>
    <w:rsid w:val="00556AC5"/>
    <w:rsid w:val="00557BE9"/>
    <w:rsid w:val="005600B9"/>
    <w:rsid w:val="00563B0F"/>
    <w:rsid w:val="00564847"/>
    <w:rsid w:val="0056548D"/>
    <w:rsid w:val="00565840"/>
    <w:rsid w:val="00565E2D"/>
    <w:rsid w:val="00567A0E"/>
    <w:rsid w:val="00567FEA"/>
    <w:rsid w:val="005747C4"/>
    <w:rsid w:val="00574FA2"/>
    <w:rsid w:val="00577C6A"/>
    <w:rsid w:val="005834A8"/>
    <w:rsid w:val="00584558"/>
    <w:rsid w:val="00585668"/>
    <w:rsid w:val="0058606E"/>
    <w:rsid w:val="00590710"/>
    <w:rsid w:val="00590C0D"/>
    <w:rsid w:val="00590FAE"/>
    <w:rsid w:val="00591F2F"/>
    <w:rsid w:val="0059248C"/>
    <w:rsid w:val="00592CA9"/>
    <w:rsid w:val="0059675F"/>
    <w:rsid w:val="005A0052"/>
    <w:rsid w:val="005A2B36"/>
    <w:rsid w:val="005A322A"/>
    <w:rsid w:val="005A576A"/>
    <w:rsid w:val="005A5CC0"/>
    <w:rsid w:val="005B05C4"/>
    <w:rsid w:val="005B23E7"/>
    <w:rsid w:val="005B254E"/>
    <w:rsid w:val="005B3CCF"/>
    <w:rsid w:val="005B594C"/>
    <w:rsid w:val="005C123F"/>
    <w:rsid w:val="005C148D"/>
    <w:rsid w:val="005C36E6"/>
    <w:rsid w:val="005C4FA2"/>
    <w:rsid w:val="005D59E9"/>
    <w:rsid w:val="005D5BD9"/>
    <w:rsid w:val="005D6227"/>
    <w:rsid w:val="005D626C"/>
    <w:rsid w:val="005E1393"/>
    <w:rsid w:val="005E1D6B"/>
    <w:rsid w:val="005E362F"/>
    <w:rsid w:val="005E36F1"/>
    <w:rsid w:val="005E410E"/>
    <w:rsid w:val="005E556F"/>
    <w:rsid w:val="005E5E8F"/>
    <w:rsid w:val="005F078D"/>
    <w:rsid w:val="005F1B66"/>
    <w:rsid w:val="005F2650"/>
    <w:rsid w:val="005F44B1"/>
    <w:rsid w:val="005F4DA6"/>
    <w:rsid w:val="005F5AEB"/>
    <w:rsid w:val="006000F8"/>
    <w:rsid w:val="00600ABD"/>
    <w:rsid w:val="0060164B"/>
    <w:rsid w:val="00604A3F"/>
    <w:rsid w:val="00611FA4"/>
    <w:rsid w:val="00613E9D"/>
    <w:rsid w:val="00615E27"/>
    <w:rsid w:val="006161E9"/>
    <w:rsid w:val="0061656B"/>
    <w:rsid w:val="0061791A"/>
    <w:rsid w:val="00621784"/>
    <w:rsid w:val="006221E1"/>
    <w:rsid w:val="00622706"/>
    <w:rsid w:val="00622B05"/>
    <w:rsid w:val="0062459E"/>
    <w:rsid w:val="0062482C"/>
    <w:rsid w:val="00625096"/>
    <w:rsid w:val="006272A7"/>
    <w:rsid w:val="00631E26"/>
    <w:rsid w:val="00632382"/>
    <w:rsid w:val="00632C61"/>
    <w:rsid w:val="00636B91"/>
    <w:rsid w:val="00637171"/>
    <w:rsid w:val="006407D8"/>
    <w:rsid w:val="0064174C"/>
    <w:rsid w:val="00643F98"/>
    <w:rsid w:val="00644DC1"/>
    <w:rsid w:val="00647A93"/>
    <w:rsid w:val="006502E3"/>
    <w:rsid w:val="00657143"/>
    <w:rsid w:val="0065745C"/>
    <w:rsid w:val="00657EC4"/>
    <w:rsid w:val="0066055A"/>
    <w:rsid w:val="00662500"/>
    <w:rsid w:val="00662F1C"/>
    <w:rsid w:val="006638C8"/>
    <w:rsid w:val="00667ACD"/>
    <w:rsid w:val="00667C4D"/>
    <w:rsid w:val="00670101"/>
    <w:rsid w:val="00675CBE"/>
    <w:rsid w:val="00677F14"/>
    <w:rsid w:val="00680D00"/>
    <w:rsid w:val="00683B15"/>
    <w:rsid w:val="00686B1C"/>
    <w:rsid w:val="00686BFA"/>
    <w:rsid w:val="006907DC"/>
    <w:rsid w:val="0069178D"/>
    <w:rsid w:val="0069218C"/>
    <w:rsid w:val="00693A8C"/>
    <w:rsid w:val="00693BDF"/>
    <w:rsid w:val="0069534C"/>
    <w:rsid w:val="00696433"/>
    <w:rsid w:val="006972C6"/>
    <w:rsid w:val="006A0CB3"/>
    <w:rsid w:val="006A12E8"/>
    <w:rsid w:val="006A177E"/>
    <w:rsid w:val="006A28E2"/>
    <w:rsid w:val="006A6073"/>
    <w:rsid w:val="006A7C3D"/>
    <w:rsid w:val="006B10F4"/>
    <w:rsid w:val="006B4471"/>
    <w:rsid w:val="006B5F7C"/>
    <w:rsid w:val="006B74FB"/>
    <w:rsid w:val="006C08B4"/>
    <w:rsid w:val="006C0F0F"/>
    <w:rsid w:val="006C2B3D"/>
    <w:rsid w:val="006C4CDF"/>
    <w:rsid w:val="006C751F"/>
    <w:rsid w:val="006C7695"/>
    <w:rsid w:val="006C76A5"/>
    <w:rsid w:val="006D1924"/>
    <w:rsid w:val="006D2A88"/>
    <w:rsid w:val="006D3157"/>
    <w:rsid w:val="006D3B0C"/>
    <w:rsid w:val="006D48D9"/>
    <w:rsid w:val="006D55EF"/>
    <w:rsid w:val="006D5670"/>
    <w:rsid w:val="006D5C72"/>
    <w:rsid w:val="006D6945"/>
    <w:rsid w:val="006E0AC8"/>
    <w:rsid w:val="006E1305"/>
    <w:rsid w:val="006E745B"/>
    <w:rsid w:val="006E7898"/>
    <w:rsid w:val="006F0A6B"/>
    <w:rsid w:val="006F35B7"/>
    <w:rsid w:val="006F47C0"/>
    <w:rsid w:val="00701457"/>
    <w:rsid w:val="0070195C"/>
    <w:rsid w:val="00703DCA"/>
    <w:rsid w:val="007107BC"/>
    <w:rsid w:val="00711B14"/>
    <w:rsid w:val="0071215A"/>
    <w:rsid w:val="007139B5"/>
    <w:rsid w:val="00715489"/>
    <w:rsid w:val="00715A2C"/>
    <w:rsid w:val="0071749D"/>
    <w:rsid w:val="007224B8"/>
    <w:rsid w:val="00722A84"/>
    <w:rsid w:val="00722D6E"/>
    <w:rsid w:val="007230ED"/>
    <w:rsid w:val="00725F25"/>
    <w:rsid w:val="0072672A"/>
    <w:rsid w:val="00731ACE"/>
    <w:rsid w:val="00735DDB"/>
    <w:rsid w:val="0073629F"/>
    <w:rsid w:val="007377A2"/>
    <w:rsid w:val="00740C0A"/>
    <w:rsid w:val="00744B80"/>
    <w:rsid w:val="007519A6"/>
    <w:rsid w:val="00752F31"/>
    <w:rsid w:val="007542BF"/>
    <w:rsid w:val="007546CB"/>
    <w:rsid w:val="007550AB"/>
    <w:rsid w:val="00755BB5"/>
    <w:rsid w:val="00760E2C"/>
    <w:rsid w:val="00762580"/>
    <w:rsid w:val="00763DE5"/>
    <w:rsid w:val="00764776"/>
    <w:rsid w:val="00765D37"/>
    <w:rsid w:val="00767D0C"/>
    <w:rsid w:val="00770FC3"/>
    <w:rsid w:val="00771F93"/>
    <w:rsid w:val="0077259D"/>
    <w:rsid w:val="007729A1"/>
    <w:rsid w:val="00777BF5"/>
    <w:rsid w:val="007801FA"/>
    <w:rsid w:val="0078080D"/>
    <w:rsid w:val="0078293B"/>
    <w:rsid w:val="00784FE8"/>
    <w:rsid w:val="00787CEE"/>
    <w:rsid w:val="00791284"/>
    <w:rsid w:val="007941A2"/>
    <w:rsid w:val="00795424"/>
    <w:rsid w:val="00795BBA"/>
    <w:rsid w:val="00795FB7"/>
    <w:rsid w:val="00796753"/>
    <w:rsid w:val="00796A69"/>
    <w:rsid w:val="007A01D1"/>
    <w:rsid w:val="007A0C25"/>
    <w:rsid w:val="007A28C7"/>
    <w:rsid w:val="007A3DE1"/>
    <w:rsid w:val="007A50E5"/>
    <w:rsid w:val="007A5CF0"/>
    <w:rsid w:val="007A70BD"/>
    <w:rsid w:val="007B00F0"/>
    <w:rsid w:val="007B1306"/>
    <w:rsid w:val="007B2954"/>
    <w:rsid w:val="007C0F7D"/>
    <w:rsid w:val="007C1596"/>
    <w:rsid w:val="007C1E54"/>
    <w:rsid w:val="007C3F3C"/>
    <w:rsid w:val="007C522D"/>
    <w:rsid w:val="007C5463"/>
    <w:rsid w:val="007C6536"/>
    <w:rsid w:val="007D0F77"/>
    <w:rsid w:val="007D1B61"/>
    <w:rsid w:val="007D2E98"/>
    <w:rsid w:val="007D403D"/>
    <w:rsid w:val="007D5020"/>
    <w:rsid w:val="007E042A"/>
    <w:rsid w:val="007E32FC"/>
    <w:rsid w:val="007E4596"/>
    <w:rsid w:val="007F329F"/>
    <w:rsid w:val="007F32C0"/>
    <w:rsid w:val="007F4A07"/>
    <w:rsid w:val="007F604A"/>
    <w:rsid w:val="007F6AEA"/>
    <w:rsid w:val="007F72BC"/>
    <w:rsid w:val="00800559"/>
    <w:rsid w:val="00803625"/>
    <w:rsid w:val="00804A31"/>
    <w:rsid w:val="00805E92"/>
    <w:rsid w:val="008117E1"/>
    <w:rsid w:val="008135E1"/>
    <w:rsid w:val="0081430E"/>
    <w:rsid w:val="00815548"/>
    <w:rsid w:val="0081598D"/>
    <w:rsid w:val="00815F5E"/>
    <w:rsid w:val="0081634F"/>
    <w:rsid w:val="00817635"/>
    <w:rsid w:val="00817A79"/>
    <w:rsid w:val="0082257C"/>
    <w:rsid w:val="00822EB4"/>
    <w:rsid w:val="00824041"/>
    <w:rsid w:val="00827C7A"/>
    <w:rsid w:val="008315D7"/>
    <w:rsid w:val="00832BCF"/>
    <w:rsid w:val="008333E5"/>
    <w:rsid w:val="0083447B"/>
    <w:rsid w:val="00834BAC"/>
    <w:rsid w:val="00834E1E"/>
    <w:rsid w:val="00837247"/>
    <w:rsid w:val="00841445"/>
    <w:rsid w:val="008414CF"/>
    <w:rsid w:val="0084220F"/>
    <w:rsid w:val="00843236"/>
    <w:rsid w:val="00844C10"/>
    <w:rsid w:val="008470EF"/>
    <w:rsid w:val="008500EC"/>
    <w:rsid w:val="00852B35"/>
    <w:rsid w:val="0085468F"/>
    <w:rsid w:val="008569C8"/>
    <w:rsid w:val="00857950"/>
    <w:rsid w:val="00857D30"/>
    <w:rsid w:val="008602EE"/>
    <w:rsid w:val="00863CD3"/>
    <w:rsid w:val="00867CAC"/>
    <w:rsid w:val="00867EE6"/>
    <w:rsid w:val="00872CFF"/>
    <w:rsid w:val="008756A1"/>
    <w:rsid w:val="008756FE"/>
    <w:rsid w:val="0087596F"/>
    <w:rsid w:val="0087712E"/>
    <w:rsid w:val="00877645"/>
    <w:rsid w:val="00881F50"/>
    <w:rsid w:val="00882C37"/>
    <w:rsid w:val="00883174"/>
    <w:rsid w:val="008832D8"/>
    <w:rsid w:val="0089067A"/>
    <w:rsid w:val="00892B28"/>
    <w:rsid w:val="008968FF"/>
    <w:rsid w:val="008975F0"/>
    <w:rsid w:val="008A0996"/>
    <w:rsid w:val="008A577F"/>
    <w:rsid w:val="008A58FC"/>
    <w:rsid w:val="008A6486"/>
    <w:rsid w:val="008A7503"/>
    <w:rsid w:val="008B0C15"/>
    <w:rsid w:val="008C0A47"/>
    <w:rsid w:val="008C1ED3"/>
    <w:rsid w:val="008C2727"/>
    <w:rsid w:val="008D2878"/>
    <w:rsid w:val="008D2AA2"/>
    <w:rsid w:val="008D3CF6"/>
    <w:rsid w:val="008D6470"/>
    <w:rsid w:val="008E040E"/>
    <w:rsid w:val="008E05A1"/>
    <w:rsid w:val="008E0D2B"/>
    <w:rsid w:val="008E180C"/>
    <w:rsid w:val="008E1A2A"/>
    <w:rsid w:val="008E2519"/>
    <w:rsid w:val="008E335B"/>
    <w:rsid w:val="008E4252"/>
    <w:rsid w:val="008E4855"/>
    <w:rsid w:val="008E716B"/>
    <w:rsid w:val="008E7C28"/>
    <w:rsid w:val="008F3CD5"/>
    <w:rsid w:val="008F483D"/>
    <w:rsid w:val="008F4D83"/>
    <w:rsid w:val="008F547D"/>
    <w:rsid w:val="008F78EC"/>
    <w:rsid w:val="0090203E"/>
    <w:rsid w:val="00902B23"/>
    <w:rsid w:val="00904076"/>
    <w:rsid w:val="009050A9"/>
    <w:rsid w:val="009050B8"/>
    <w:rsid w:val="00906FB4"/>
    <w:rsid w:val="009103A8"/>
    <w:rsid w:val="0091333D"/>
    <w:rsid w:val="00913869"/>
    <w:rsid w:val="00915D57"/>
    <w:rsid w:val="00916AB0"/>
    <w:rsid w:val="00917647"/>
    <w:rsid w:val="00917B62"/>
    <w:rsid w:val="00920787"/>
    <w:rsid w:val="00925639"/>
    <w:rsid w:val="00926A56"/>
    <w:rsid w:val="009277A7"/>
    <w:rsid w:val="00930088"/>
    <w:rsid w:val="0093274A"/>
    <w:rsid w:val="0093277B"/>
    <w:rsid w:val="00935519"/>
    <w:rsid w:val="00935ECF"/>
    <w:rsid w:val="0093634A"/>
    <w:rsid w:val="0094007D"/>
    <w:rsid w:val="00940F59"/>
    <w:rsid w:val="009436B0"/>
    <w:rsid w:val="00943F08"/>
    <w:rsid w:val="009501F6"/>
    <w:rsid w:val="0095391F"/>
    <w:rsid w:val="00955BA1"/>
    <w:rsid w:val="00957578"/>
    <w:rsid w:val="00966476"/>
    <w:rsid w:val="00966A55"/>
    <w:rsid w:val="009671FE"/>
    <w:rsid w:val="009702C7"/>
    <w:rsid w:val="00973455"/>
    <w:rsid w:val="00973E26"/>
    <w:rsid w:val="00975473"/>
    <w:rsid w:val="00976835"/>
    <w:rsid w:val="00976B1A"/>
    <w:rsid w:val="009772E8"/>
    <w:rsid w:val="009776D4"/>
    <w:rsid w:val="00980EE2"/>
    <w:rsid w:val="009843DD"/>
    <w:rsid w:val="00986249"/>
    <w:rsid w:val="0098770E"/>
    <w:rsid w:val="00987BD8"/>
    <w:rsid w:val="00992426"/>
    <w:rsid w:val="009930EA"/>
    <w:rsid w:val="0099585B"/>
    <w:rsid w:val="00997071"/>
    <w:rsid w:val="00997521"/>
    <w:rsid w:val="0099791B"/>
    <w:rsid w:val="009A0F43"/>
    <w:rsid w:val="009A470D"/>
    <w:rsid w:val="009B21B8"/>
    <w:rsid w:val="009B24A2"/>
    <w:rsid w:val="009B287F"/>
    <w:rsid w:val="009B2EB7"/>
    <w:rsid w:val="009B5901"/>
    <w:rsid w:val="009B6A1D"/>
    <w:rsid w:val="009C3B55"/>
    <w:rsid w:val="009C3DF3"/>
    <w:rsid w:val="009C4BC5"/>
    <w:rsid w:val="009C7910"/>
    <w:rsid w:val="009D10D3"/>
    <w:rsid w:val="009D412D"/>
    <w:rsid w:val="009D418F"/>
    <w:rsid w:val="009D4FE4"/>
    <w:rsid w:val="009D5F70"/>
    <w:rsid w:val="009D62B6"/>
    <w:rsid w:val="009D6B1B"/>
    <w:rsid w:val="009E160B"/>
    <w:rsid w:val="009E44E8"/>
    <w:rsid w:val="009E4948"/>
    <w:rsid w:val="009E570E"/>
    <w:rsid w:val="009E7B66"/>
    <w:rsid w:val="009F0352"/>
    <w:rsid w:val="009F0F61"/>
    <w:rsid w:val="009F165A"/>
    <w:rsid w:val="009F1A49"/>
    <w:rsid w:val="009F5B97"/>
    <w:rsid w:val="009F5D3F"/>
    <w:rsid w:val="00A005C3"/>
    <w:rsid w:val="00A00F95"/>
    <w:rsid w:val="00A01270"/>
    <w:rsid w:val="00A04C60"/>
    <w:rsid w:val="00A05786"/>
    <w:rsid w:val="00A1359B"/>
    <w:rsid w:val="00A13741"/>
    <w:rsid w:val="00A137D6"/>
    <w:rsid w:val="00A16336"/>
    <w:rsid w:val="00A17057"/>
    <w:rsid w:val="00A17A5D"/>
    <w:rsid w:val="00A17F85"/>
    <w:rsid w:val="00A21B72"/>
    <w:rsid w:val="00A22846"/>
    <w:rsid w:val="00A24401"/>
    <w:rsid w:val="00A2680A"/>
    <w:rsid w:val="00A269AE"/>
    <w:rsid w:val="00A26CE3"/>
    <w:rsid w:val="00A273D6"/>
    <w:rsid w:val="00A315AD"/>
    <w:rsid w:val="00A31E0D"/>
    <w:rsid w:val="00A42434"/>
    <w:rsid w:val="00A425A2"/>
    <w:rsid w:val="00A4311B"/>
    <w:rsid w:val="00A45820"/>
    <w:rsid w:val="00A46AB2"/>
    <w:rsid w:val="00A4789B"/>
    <w:rsid w:val="00A51BC6"/>
    <w:rsid w:val="00A52E77"/>
    <w:rsid w:val="00A54E7F"/>
    <w:rsid w:val="00A56C55"/>
    <w:rsid w:val="00A5745F"/>
    <w:rsid w:val="00A60F4B"/>
    <w:rsid w:val="00A623E6"/>
    <w:rsid w:val="00A627DD"/>
    <w:rsid w:val="00A62806"/>
    <w:rsid w:val="00A6289C"/>
    <w:rsid w:val="00A64418"/>
    <w:rsid w:val="00A6566D"/>
    <w:rsid w:val="00A66A16"/>
    <w:rsid w:val="00A7038C"/>
    <w:rsid w:val="00A70AD1"/>
    <w:rsid w:val="00A728F3"/>
    <w:rsid w:val="00A73FB2"/>
    <w:rsid w:val="00A755D5"/>
    <w:rsid w:val="00A764CE"/>
    <w:rsid w:val="00A8023B"/>
    <w:rsid w:val="00A804DF"/>
    <w:rsid w:val="00A814EF"/>
    <w:rsid w:val="00A8214E"/>
    <w:rsid w:val="00A90768"/>
    <w:rsid w:val="00A90EFE"/>
    <w:rsid w:val="00A91B62"/>
    <w:rsid w:val="00A91E13"/>
    <w:rsid w:val="00A926E5"/>
    <w:rsid w:val="00A930EC"/>
    <w:rsid w:val="00A95502"/>
    <w:rsid w:val="00A95CFE"/>
    <w:rsid w:val="00A95EFE"/>
    <w:rsid w:val="00A96114"/>
    <w:rsid w:val="00AA012E"/>
    <w:rsid w:val="00AA1920"/>
    <w:rsid w:val="00AA5971"/>
    <w:rsid w:val="00AA6CAB"/>
    <w:rsid w:val="00AA74DF"/>
    <w:rsid w:val="00AA7A9C"/>
    <w:rsid w:val="00AA7B08"/>
    <w:rsid w:val="00AB5276"/>
    <w:rsid w:val="00AC0CAB"/>
    <w:rsid w:val="00AC11A1"/>
    <w:rsid w:val="00AC3B8C"/>
    <w:rsid w:val="00AC42BA"/>
    <w:rsid w:val="00AC5480"/>
    <w:rsid w:val="00AD354E"/>
    <w:rsid w:val="00AD36CE"/>
    <w:rsid w:val="00AE0551"/>
    <w:rsid w:val="00AE0F9A"/>
    <w:rsid w:val="00AE11D4"/>
    <w:rsid w:val="00AE190F"/>
    <w:rsid w:val="00AE194A"/>
    <w:rsid w:val="00AE1B09"/>
    <w:rsid w:val="00AE1C66"/>
    <w:rsid w:val="00AE4E30"/>
    <w:rsid w:val="00AF0B0B"/>
    <w:rsid w:val="00AF1576"/>
    <w:rsid w:val="00AF2F7C"/>
    <w:rsid w:val="00AF5971"/>
    <w:rsid w:val="00AF6642"/>
    <w:rsid w:val="00AF73BB"/>
    <w:rsid w:val="00B00255"/>
    <w:rsid w:val="00B02FB9"/>
    <w:rsid w:val="00B04DB7"/>
    <w:rsid w:val="00B068C3"/>
    <w:rsid w:val="00B13C66"/>
    <w:rsid w:val="00B14540"/>
    <w:rsid w:val="00B15510"/>
    <w:rsid w:val="00B16055"/>
    <w:rsid w:val="00B17564"/>
    <w:rsid w:val="00B17AFA"/>
    <w:rsid w:val="00B25ADF"/>
    <w:rsid w:val="00B279CF"/>
    <w:rsid w:val="00B3013B"/>
    <w:rsid w:val="00B34508"/>
    <w:rsid w:val="00B3458C"/>
    <w:rsid w:val="00B35B92"/>
    <w:rsid w:val="00B3718B"/>
    <w:rsid w:val="00B416E9"/>
    <w:rsid w:val="00B433DA"/>
    <w:rsid w:val="00B44ADE"/>
    <w:rsid w:val="00B452BD"/>
    <w:rsid w:val="00B51754"/>
    <w:rsid w:val="00B535B6"/>
    <w:rsid w:val="00B556CD"/>
    <w:rsid w:val="00B56E57"/>
    <w:rsid w:val="00B62605"/>
    <w:rsid w:val="00B6345E"/>
    <w:rsid w:val="00B67F91"/>
    <w:rsid w:val="00B74521"/>
    <w:rsid w:val="00B76083"/>
    <w:rsid w:val="00B77BBE"/>
    <w:rsid w:val="00B77BD0"/>
    <w:rsid w:val="00B81C10"/>
    <w:rsid w:val="00B81E47"/>
    <w:rsid w:val="00B837AB"/>
    <w:rsid w:val="00B84648"/>
    <w:rsid w:val="00B85F4C"/>
    <w:rsid w:val="00B87867"/>
    <w:rsid w:val="00B90581"/>
    <w:rsid w:val="00B91663"/>
    <w:rsid w:val="00B92669"/>
    <w:rsid w:val="00B9269C"/>
    <w:rsid w:val="00B92DC9"/>
    <w:rsid w:val="00B938A0"/>
    <w:rsid w:val="00B95290"/>
    <w:rsid w:val="00BA0133"/>
    <w:rsid w:val="00BA0400"/>
    <w:rsid w:val="00BA0B40"/>
    <w:rsid w:val="00BA10DA"/>
    <w:rsid w:val="00BA2122"/>
    <w:rsid w:val="00BA2159"/>
    <w:rsid w:val="00BA284B"/>
    <w:rsid w:val="00BA2B2B"/>
    <w:rsid w:val="00BA2D23"/>
    <w:rsid w:val="00BA4F1B"/>
    <w:rsid w:val="00BA625F"/>
    <w:rsid w:val="00BA6355"/>
    <w:rsid w:val="00BA65E5"/>
    <w:rsid w:val="00BA6FF8"/>
    <w:rsid w:val="00BB118A"/>
    <w:rsid w:val="00BB2BEE"/>
    <w:rsid w:val="00BB3DE2"/>
    <w:rsid w:val="00BB52CF"/>
    <w:rsid w:val="00BB5790"/>
    <w:rsid w:val="00BC1509"/>
    <w:rsid w:val="00BC277C"/>
    <w:rsid w:val="00BC4CEF"/>
    <w:rsid w:val="00BC55C7"/>
    <w:rsid w:val="00BC5719"/>
    <w:rsid w:val="00BC6E42"/>
    <w:rsid w:val="00BD0EA1"/>
    <w:rsid w:val="00BD128D"/>
    <w:rsid w:val="00BD3B56"/>
    <w:rsid w:val="00BD4DA0"/>
    <w:rsid w:val="00BD501C"/>
    <w:rsid w:val="00BD5EF3"/>
    <w:rsid w:val="00BE0758"/>
    <w:rsid w:val="00BE14A6"/>
    <w:rsid w:val="00BE1584"/>
    <w:rsid w:val="00BE1660"/>
    <w:rsid w:val="00BE2070"/>
    <w:rsid w:val="00BE2666"/>
    <w:rsid w:val="00BE29A9"/>
    <w:rsid w:val="00BE502C"/>
    <w:rsid w:val="00BE66B7"/>
    <w:rsid w:val="00BE7F5F"/>
    <w:rsid w:val="00BF1483"/>
    <w:rsid w:val="00BF1790"/>
    <w:rsid w:val="00BF299A"/>
    <w:rsid w:val="00BF3146"/>
    <w:rsid w:val="00BF3E27"/>
    <w:rsid w:val="00BF4B1B"/>
    <w:rsid w:val="00C00FEE"/>
    <w:rsid w:val="00C01026"/>
    <w:rsid w:val="00C04559"/>
    <w:rsid w:val="00C05A3E"/>
    <w:rsid w:val="00C06E80"/>
    <w:rsid w:val="00C0731A"/>
    <w:rsid w:val="00C07347"/>
    <w:rsid w:val="00C118F2"/>
    <w:rsid w:val="00C11C10"/>
    <w:rsid w:val="00C12D87"/>
    <w:rsid w:val="00C20404"/>
    <w:rsid w:val="00C20C44"/>
    <w:rsid w:val="00C20EE9"/>
    <w:rsid w:val="00C26E6E"/>
    <w:rsid w:val="00C26F9A"/>
    <w:rsid w:val="00C270B7"/>
    <w:rsid w:val="00C323E9"/>
    <w:rsid w:val="00C32C2D"/>
    <w:rsid w:val="00C33F4D"/>
    <w:rsid w:val="00C35A56"/>
    <w:rsid w:val="00C3654D"/>
    <w:rsid w:val="00C41C59"/>
    <w:rsid w:val="00C42AE2"/>
    <w:rsid w:val="00C44798"/>
    <w:rsid w:val="00C462E2"/>
    <w:rsid w:val="00C51B1C"/>
    <w:rsid w:val="00C51D06"/>
    <w:rsid w:val="00C537BD"/>
    <w:rsid w:val="00C53CFA"/>
    <w:rsid w:val="00C57797"/>
    <w:rsid w:val="00C61BE3"/>
    <w:rsid w:val="00C63BA9"/>
    <w:rsid w:val="00C6471B"/>
    <w:rsid w:val="00C648F7"/>
    <w:rsid w:val="00C64FD4"/>
    <w:rsid w:val="00C65DBF"/>
    <w:rsid w:val="00C6752B"/>
    <w:rsid w:val="00C7062C"/>
    <w:rsid w:val="00C72769"/>
    <w:rsid w:val="00C736C8"/>
    <w:rsid w:val="00C73AC6"/>
    <w:rsid w:val="00C75B27"/>
    <w:rsid w:val="00C801E5"/>
    <w:rsid w:val="00C8023F"/>
    <w:rsid w:val="00C803AF"/>
    <w:rsid w:val="00C812D1"/>
    <w:rsid w:val="00C814C6"/>
    <w:rsid w:val="00C81E7D"/>
    <w:rsid w:val="00C83298"/>
    <w:rsid w:val="00C83ECA"/>
    <w:rsid w:val="00C83ED5"/>
    <w:rsid w:val="00C84411"/>
    <w:rsid w:val="00C86D02"/>
    <w:rsid w:val="00C9262B"/>
    <w:rsid w:val="00C93A06"/>
    <w:rsid w:val="00CA0285"/>
    <w:rsid w:val="00CA0437"/>
    <w:rsid w:val="00CA4952"/>
    <w:rsid w:val="00CA49F2"/>
    <w:rsid w:val="00CA633A"/>
    <w:rsid w:val="00CA653A"/>
    <w:rsid w:val="00CA692B"/>
    <w:rsid w:val="00CA7A08"/>
    <w:rsid w:val="00CB267B"/>
    <w:rsid w:val="00CB5C15"/>
    <w:rsid w:val="00CC01AE"/>
    <w:rsid w:val="00CC10D9"/>
    <w:rsid w:val="00CC6D90"/>
    <w:rsid w:val="00CC756C"/>
    <w:rsid w:val="00CC7B4D"/>
    <w:rsid w:val="00CD117F"/>
    <w:rsid w:val="00CD24E5"/>
    <w:rsid w:val="00CD4BAE"/>
    <w:rsid w:val="00CD56CD"/>
    <w:rsid w:val="00CD572E"/>
    <w:rsid w:val="00CD6F62"/>
    <w:rsid w:val="00CE05C1"/>
    <w:rsid w:val="00CE2059"/>
    <w:rsid w:val="00CE42BA"/>
    <w:rsid w:val="00CE6C23"/>
    <w:rsid w:val="00CF04E9"/>
    <w:rsid w:val="00CF05E8"/>
    <w:rsid w:val="00CF12B2"/>
    <w:rsid w:val="00CF5D2A"/>
    <w:rsid w:val="00CF5F5F"/>
    <w:rsid w:val="00CF74A1"/>
    <w:rsid w:val="00D012CF"/>
    <w:rsid w:val="00D013F5"/>
    <w:rsid w:val="00D01A1B"/>
    <w:rsid w:val="00D022F3"/>
    <w:rsid w:val="00D02D2F"/>
    <w:rsid w:val="00D031BF"/>
    <w:rsid w:val="00D0404D"/>
    <w:rsid w:val="00D044DE"/>
    <w:rsid w:val="00D049C8"/>
    <w:rsid w:val="00D051C2"/>
    <w:rsid w:val="00D0566D"/>
    <w:rsid w:val="00D05BFD"/>
    <w:rsid w:val="00D06556"/>
    <w:rsid w:val="00D066A5"/>
    <w:rsid w:val="00D077ED"/>
    <w:rsid w:val="00D114DD"/>
    <w:rsid w:val="00D11C72"/>
    <w:rsid w:val="00D11F42"/>
    <w:rsid w:val="00D13D84"/>
    <w:rsid w:val="00D20FB1"/>
    <w:rsid w:val="00D21214"/>
    <w:rsid w:val="00D21497"/>
    <w:rsid w:val="00D22E72"/>
    <w:rsid w:val="00D2364C"/>
    <w:rsid w:val="00D27889"/>
    <w:rsid w:val="00D31363"/>
    <w:rsid w:val="00D32BB4"/>
    <w:rsid w:val="00D34C87"/>
    <w:rsid w:val="00D36B71"/>
    <w:rsid w:val="00D37465"/>
    <w:rsid w:val="00D3746F"/>
    <w:rsid w:val="00D374B9"/>
    <w:rsid w:val="00D4036B"/>
    <w:rsid w:val="00D41182"/>
    <w:rsid w:val="00D4181C"/>
    <w:rsid w:val="00D4341B"/>
    <w:rsid w:val="00D43C02"/>
    <w:rsid w:val="00D43DDB"/>
    <w:rsid w:val="00D44255"/>
    <w:rsid w:val="00D44E00"/>
    <w:rsid w:val="00D45155"/>
    <w:rsid w:val="00D4592C"/>
    <w:rsid w:val="00D45E9A"/>
    <w:rsid w:val="00D46255"/>
    <w:rsid w:val="00D462B8"/>
    <w:rsid w:val="00D46718"/>
    <w:rsid w:val="00D50A48"/>
    <w:rsid w:val="00D510DB"/>
    <w:rsid w:val="00D510FE"/>
    <w:rsid w:val="00D51255"/>
    <w:rsid w:val="00D5142B"/>
    <w:rsid w:val="00D536CE"/>
    <w:rsid w:val="00D61380"/>
    <w:rsid w:val="00D62300"/>
    <w:rsid w:val="00D62AAD"/>
    <w:rsid w:val="00D6346E"/>
    <w:rsid w:val="00D709F0"/>
    <w:rsid w:val="00D70A63"/>
    <w:rsid w:val="00D711BC"/>
    <w:rsid w:val="00D71A11"/>
    <w:rsid w:val="00D71F7B"/>
    <w:rsid w:val="00D75B6C"/>
    <w:rsid w:val="00D76A33"/>
    <w:rsid w:val="00D76CA5"/>
    <w:rsid w:val="00D80787"/>
    <w:rsid w:val="00D819FF"/>
    <w:rsid w:val="00D81D69"/>
    <w:rsid w:val="00D82534"/>
    <w:rsid w:val="00D8582E"/>
    <w:rsid w:val="00D85F2F"/>
    <w:rsid w:val="00D8600B"/>
    <w:rsid w:val="00D862BE"/>
    <w:rsid w:val="00D86EA8"/>
    <w:rsid w:val="00D93C33"/>
    <w:rsid w:val="00D94DD5"/>
    <w:rsid w:val="00D97F7E"/>
    <w:rsid w:val="00DA1D2E"/>
    <w:rsid w:val="00DA1F6A"/>
    <w:rsid w:val="00DA2A91"/>
    <w:rsid w:val="00DA46D9"/>
    <w:rsid w:val="00DA62A1"/>
    <w:rsid w:val="00DA757B"/>
    <w:rsid w:val="00DB00E5"/>
    <w:rsid w:val="00DB2545"/>
    <w:rsid w:val="00DB3A20"/>
    <w:rsid w:val="00DB5C82"/>
    <w:rsid w:val="00DB5C85"/>
    <w:rsid w:val="00DB6F61"/>
    <w:rsid w:val="00DB751F"/>
    <w:rsid w:val="00DB7CBE"/>
    <w:rsid w:val="00DC097C"/>
    <w:rsid w:val="00DC0A07"/>
    <w:rsid w:val="00DC1B31"/>
    <w:rsid w:val="00DC2D86"/>
    <w:rsid w:val="00DC532C"/>
    <w:rsid w:val="00DC7DF0"/>
    <w:rsid w:val="00DD0AAA"/>
    <w:rsid w:val="00DD14B9"/>
    <w:rsid w:val="00DD15C2"/>
    <w:rsid w:val="00DD3528"/>
    <w:rsid w:val="00DD4E5A"/>
    <w:rsid w:val="00DD53DE"/>
    <w:rsid w:val="00DD729D"/>
    <w:rsid w:val="00DE2647"/>
    <w:rsid w:val="00DE38F0"/>
    <w:rsid w:val="00DE45D4"/>
    <w:rsid w:val="00DF032A"/>
    <w:rsid w:val="00DF126A"/>
    <w:rsid w:val="00DF1E9B"/>
    <w:rsid w:val="00DF57D2"/>
    <w:rsid w:val="00DF6497"/>
    <w:rsid w:val="00DF6FA9"/>
    <w:rsid w:val="00DF7106"/>
    <w:rsid w:val="00E0040C"/>
    <w:rsid w:val="00E00701"/>
    <w:rsid w:val="00E007F4"/>
    <w:rsid w:val="00E038C1"/>
    <w:rsid w:val="00E0482F"/>
    <w:rsid w:val="00E073B6"/>
    <w:rsid w:val="00E074E8"/>
    <w:rsid w:val="00E0785D"/>
    <w:rsid w:val="00E10551"/>
    <w:rsid w:val="00E16182"/>
    <w:rsid w:val="00E16D08"/>
    <w:rsid w:val="00E20FD3"/>
    <w:rsid w:val="00E22103"/>
    <w:rsid w:val="00E22F29"/>
    <w:rsid w:val="00E26D5A"/>
    <w:rsid w:val="00E3042D"/>
    <w:rsid w:val="00E3133B"/>
    <w:rsid w:val="00E31E17"/>
    <w:rsid w:val="00E330A2"/>
    <w:rsid w:val="00E34936"/>
    <w:rsid w:val="00E34ED4"/>
    <w:rsid w:val="00E37D67"/>
    <w:rsid w:val="00E37D71"/>
    <w:rsid w:val="00E40070"/>
    <w:rsid w:val="00E40154"/>
    <w:rsid w:val="00E40235"/>
    <w:rsid w:val="00E4522F"/>
    <w:rsid w:val="00E47870"/>
    <w:rsid w:val="00E50669"/>
    <w:rsid w:val="00E518C8"/>
    <w:rsid w:val="00E52105"/>
    <w:rsid w:val="00E54667"/>
    <w:rsid w:val="00E54CEB"/>
    <w:rsid w:val="00E57F5D"/>
    <w:rsid w:val="00E606B5"/>
    <w:rsid w:val="00E614ED"/>
    <w:rsid w:val="00E61CA0"/>
    <w:rsid w:val="00E6366D"/>
    <w:rsid w:val="00E652EB"/>
    <w:rsid w:val="00E72261"/>
    <w:rsid w:val="00E74861"/>
    <w:rsid w:val="00E74C21"/>
    <w:rsid w:val="00E74E78"/>
    <w:rsid w:val="00E834C8"/>
    <w:rsid w:val="00E83B92"/>
    <w:rsid w:val="00E87484"/>
    <w:rsid w:val="00E93E49"/>
    <w:rsid w:val="00E96CBB"/>
    <w:rsid w:val="00E97D3E"/>
    <w:rsid w:val="00EA0EDD"/>
    <w:rsid w:val="00EA3E6D"/>
    <w:rsid w:val="00EA6FB1"/>
    <w:rsid w:val="00EB3FFB"/>
    <w:rsid w:val="00EB6372"/>
    <w:rsid w:val="00EB6958"/>
    <w:rsid w:val="00EC03CE"/>
    <w:rsid w:val="00EC10BB"/>
    <w:rsid w:val="00EC122B"/>
    <w:rsid w:val="00EC2DEF"/>
    <w:rsid w:val="00EC2EA3"/>
    <w:rsid w:val="00EC421E"/>
    <w:rsid w:val="00EC4CEF"/>
    <w:rsid w:val="00ED152B"/>
    <w:rsid w:val="00ED264F"/>
    <w:rsid w:val="00ED3387"/>
    <w:rsid w:val="00ED50C3"/>
    <w:rsid w:val="00EE0315"/>
    <w:rsid w:val="00EE42E7"/>
    <w:rsid w:val="00EE4396"/>
    <w:rsid w:val="00EE58B6"/>
    <w:rsid w:val="00EE5D35"/>
    <w:rsid w:val="00EF0AEB"/>
    <w:rsid w:val="00EF3D15"/>
    <w:rsid w:val="00EF5967"/>
    <w:rsid w:val="00EF5973"/>
    <w:rsid w:val="00EF5B7A"/>
    <w:rsid w:val="00F01C1D"/>
    <w:rsid w:val="00F02FF3"/>
    <w:rsid w:val="00F050C6"/>
    <w:rsid w:val="00F07105"/>
    <w:rsid w:val="00F07FC4"/>
    <w:rsid w:val="00F10C63"/>
    <w:rsid w:val="00F10FFF"/>
    <w:rsid w:val="00F11640"/>
    <w:rsid w:val="00F11E41"/>
    <w:rsid w:val="00F13B11"/>
    <w:rsid w:val="00F14CBA"/>
    <w:rsid w:val="00F16030"/>
    <w:rsid w:val="00F16ECF"/>
    <w:rsid w:val="00F17826"/>
    <w:rsid w:val="00F22EE0"/>
    <w:rsid w:val="00F234C0"/>
    <w:rsid w:val="00F23AA6"/>
    <w:rsid w:val="00F24E54"/>
    <w:rsid w:val="00F26C81"/>
    <w:rsid w:val="00F271A6"/>
    <w:rsid w:val="00F27F9D"/>
    <w:rsid w:val="00F309A2"/>
    <w:rsid w:val="00F312FA"/>
    <w:rsid w:val="00F31523"/>
    <w:rsid w:val="00F3225C"/>
    <w:rsid w:val="00F337C1"/>
    <w:rsid w:val="00F371BA"/>
    <w:rsid w:val="00F379E5"/>
    <w:rsid w:val="00F4126A"/>
    <w:rsid w:val="00F418FF"/>
    <w:rsid w:val="00F41B28"/>
    <w:rsid w:val="00F45214"/>
    <w:rsid w:val="00F54619"/>
    <w:rsid w:val="00F559AF"/>
    <w:rsid w:val="00F561BD"/>
    <w:rsid w:val="00F564A2"/>
    <w:rsid w:val="00F60F8C"/>
    <w:rsid w:val="00F62399"/>
    <w:rsid w:val="00F63ADC"/>
    <w:rsid w:val="00F64012"/>
    <w:rsid w:val="00F64042"/>
    <w:rsid w:val="00F64990"/>
    <w:rsid w:val="00F65DCB"/>
    <w:rsid w:val="00F70E3F"/>
    <w:rsid w:val="00F71BF1"/>
    <w:rsid w:val="00F72886"/>
    <w:rsid w:val="00F73258"/>
    <w:rsid w:val="00F7416B"/>
    <w:rsid w:val="00F807CB"/>
    <w:rsid w:val="00F80F2B"/>
    <w:rsid w:val="00F8146B"/>
    <w:rsid w:val="00F82026"/>
    <w:rsid w:val="00F85C3D"/>
    <w:rsid w:val="00F85CD0"/>
    <w:rsid w:val="00F87397"/>
    <w:rsid w:val="00F903C4"/>
    <w:rsid w:val="00F934BF"/>
    <w:rsid w:val="00F943BD"/>
    <w:rsid w:val="00F951DC"/>
    <w:rsid w:val="00F97399"/>
    <w:rsid w:val="00F97B6B"/>
    <w:rsid w:val="00FA20C2"/>
    <w:rsid w:val="00FA2D08"/>
    <w:rsid w:val="00FA3E1A"/>
    <w:rsid w:val="00FA5C2C"/>
    <w:rsid w:val="00FB255C"/>
    <w:rsid w:val="00FB2C3A"/>
    <w:rsid w:val="00FB319F"/>
    <w:rsid w:val="00FB42AE"/>
    <w:rsid w:val="00FB645F"/>
    <w:rsid w:val="00FB73F3"/>
    <w:rsid w:val="00FB7B3C"/>
    <w:rsid w:val="00FB7BF0"/>
    <w:rsid w:val="00FC2892"/>
    <w:rsid w:val="00FC3920"/>
    <w:rsid w:val="00FC3B2D"/>
    <w:rsid w:val="00FC3CF7"/>
    <w:rsid w:val="00FD0EF8"/>
    <w:rsid w:val="00FD319F"/>
    <w:rsid w:val="00FD5029"/>
    <w:rsid w:val="00FD55BF"/>
    <w:rsid w:val="00FD569F"/>
    <w:rsid w:val="00FD68B3"/>
    <w:rsid w:val="00FD6CD6"/>
    <w:rsid w:val="00FE023C"/>
    <w:rsid w:val="00FE045C"/>
    <w:rsid w:val="00FE0EB7"/>
    <w:rsid w:val="00FE0F05"/>
    <w:rsid w:val="00FE1B64"/>
    <w:rsid w:val="00FE2DD0"/>
    <w:rsid w:val="00FE4D63"/>
    <w:rsid w:val="00FE7573"/>
    <w:rsid w:val="00FE7887"/>
    <w:rsid w:val="00FE7EC6"/>
    <w:rsid w:val="00FF1443"/>
    <w:rsid w:val="00FF19D3"/>
    <w:rsid w:val="00FF2901"/>
    <w:rsid w:val="00FF4927"/>
    <w:rsid w:val="00FF58B5"/>
    <w:rsid w:val="00FF6494"/>
    <w:rsid w:val="00FF6559"/>
    <w:rsid w:val="00FF7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1ABEE"/>
  <w14:defaultImageDpi w14:val="32767"/>
  <w15:chartTrackingRefBased/>
  <w15:docId w15:val="{BE56EDC1-389C-FA41-B104-B010E4E0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1B3A4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301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3F2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1"/>
    <w:qFormat/>
    <w:rsid w:val="00393F2A"/>
    <w:pPr>
      <w:autoSpaceDE w:val="0"/>
      <w:autoSpaceDN w:val="0"/>
      <w:adjustRightInd w:val="0"/>
    </w:pPr>
    <w:rPr>
      <w:rFonts w:ascii="Times New Roman" w:hAnsi="Times New Roman" w:cs="Times New Roman"/>
    </w:rPr>
  </w:style>
  <w:style w:type="character" w:styleId="Hyperlink">
    <w:name w:val="Hyperlink"/>
    <w:basedOn w:val="DefaultParagraphFont"/>
    <w:uiPriority w:val="99"/>
    <w:unhideWhenUsed/>
    <w:rsid w:val="00E6366D"/>
    <w:rPr>
      <w:color w:val="0563C1" w:themeColor="hyperlink"/>
      <w:u w:val="single"/>
    </w:rPr>
  </w:style>
  <w:style w:type="character" w:styleId="UnresolvedMention">
    <w:name w:val="Unresolved Mention"/>
    <w:basedOn w:val="DefaultParagraphFont"/>
    <w:uiPriority w:val="99"/>
    <w:rsid w:val="00E6366D"/>
    <w:rPr>
      <w:color w:val="605E5C"/>
      <w:shd w:val="clear" w:color="auto" w:fill="E1DFDD"/>
    </w:rPr>
  </w:style>
  <w:style w:type="paragraph" w:styleId="FootnoteText">
    <w:name w:val="footnote text"/>
    <w:basedOn w:val="Normal"/>
    <w:link w:val="FootnoteTextChar"/>
    <w:uiPriority w:val="99"/>
    <w:unhideWhenUsed/>
    <w:rsid w:val="00FB255C"/>
    <w:rPr>
      <w:sz w:val="20"/>
      <w:szCs w:val="20"/>
    </w:rPr>
  </w:style>
  <w:style w:type="character" w:customStyle="1" w:styleId="FootnoteTextChar">
    <w:name w:val="Footnote Text Char"/>
    <w:basedOn w:val="DefaultParagraphFont"/>
    <w:link w:val="FootnoteText"/>
    <w:uiPriority w:val="99"/>
    <w:rsid w:val="00FB255C"/>
    <w:rPr>
      <w:sz w:val="20"/>
      <w:szCs w:val="20"/>
    </w:rPr>
  </w:style>
  <w:style w:type="character" w:styleId="FootnoteReference">
    <w:name w:val="footnote reference"/>
    <w:basedOn w:val="DefaultParagraphFont"/>
    <w:uiPriority w:val="99"/>
    <w:semiHidden/>
    <w:unhideWhenUsed/>
    <w:rsid w:val="00FB255C"/>
    <w:rPr>
      <w:vertAlign w:val="superscript"/>
    </w:rPr>
  </w:style>
  <w:style w:type="character" w:customStyle="1" w:styleId="highlight">
    <w:name w:val="highlight"/>
    <w:basedOn w:val="DefaultParagraphFont"/>
    <w:rsid w:val="00E50669"/>
  </w:style>
  <w:style w:type="paragraph" w:styleId="BodyText">
    <w:name w:val="Body Text"/>
    <w:basedOn w:val="Normal"/>
    <w:link w:val="BodyTextChar"/>
    <w:uiPriority w:val="1"/>
    <w:qFormat/>
    <w:rsid w:val="00D862BE"/>
    <w:pPr>
      <w:widowControl w:val="0"/>
      <w:autoSpaceDE w:val="0"/>
      <w:autoSpaceDN w:val="0"/>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D862BE"/>
    <w:rPr>
      <w:rFonts w:ascii="Times New Roman" w:eastAsia="Times New Roman" w:hAnsi="Times New Roman" w:cs="Times New Roman"/>
      <w:lang w:bidi="en-US"/>
    </w:rPr>
  </w:style>
  <w:style w:type="character" w:customStyle="1" w:styleId="e24kjd">
    <w:name w:val="e24kjd"/>
    <w:basedOn w:val="DefaultParagraphFont"/>
    <w:rsid w:val="00BB2BEE"/>
  </w:style>
  <w:style w:type="paragraph" w:styleId="HTMLPreformatted">
    <w:name w:val="HTML Preformatted"/>
    <w:basedOn w:val="Normal"/>
    <w:link w:val="HTMLPreformattedChar"/>
    <w:uiPriority w:val="99"/>
    <w:unhideWhenUsed/>
    <w:rsid w:val="000330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3309B"/>
    <w:rPr>
      <w:rFonts w:ascii="Courier New" w:eastAsia="Times New Roman" w:hAnsi="Courier New" w:cs="Courier New"/>
      <w:sz w:val="20"/>
      <w:szCs w:val="20"/>
    </w:rPr>
  </w:style>
  <w:style w:type="character" w:customStyle="1" w:styleId="apple-converted-space">
    <w:name w:val="apple-converted-space"/>
    <w:basedOn w:val="DefaultParagraphFont"/>
    <w:rsid w:val="00935519"/>
  </w:style>
  <w:style w:type="character" w:styleId="Emphasis">
    <w:name w:val="Emphasis"/>
    <w:basedOn w:val="DefaultParagraphFont"/>
    <w:uiPriority w:val="20"/>
    <w:qFormat/>
    <w:rsid w:val="00935519"/>
    <w:rPr>
      <w:i/>
      <w:iCs/>
    </w:rPr>
  </w:style>
  <w:style w:type="paragraph" w:customStyle="1" w:styleId="Default">
    <w:name w:val="Default"/>
    <w:rsid w:val="009E160B"/>
    <w:pPr>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A728F3"/>
    <w:pPr>
      <w:tabs>
        <w:tab w:val="center" w:pos="4680"/>
        <w:tab w:val="right" w:pos="9360"/>
      </w:tabs>
    </w:pPr>
  </w:style>
  <w:style w:type="character" w:customStyle="1" w:styleId="HeaderChar">
    <w:name w:val="Header Char"/>
    <w:basedOn w:val="DefaultParagraphFont"/>
    <w:link w:val="Header"/>
    <w:uiPriority w:val="99"/>
    <w:rsid w:val="00A728F3"/>
  </w:style>
  <w:style w:type="paragraph" w:styleId="Footer">
    <w:name w:val="footer"/>
    <w:basedOn w:val="Normal"/>
    <w:link w:val="FooterChar"/>
    <w:uiPriority w:val="99"/>
    <w:unhideWhenUsed/>
    <w:rsid w:val="00A728F3"/>
    <w:pPr>
      <w:tabs>
        <w:tab w:val="center" w:pos="4680"/>
        <w:tab w:val="right" w:pos="9360"/>
      </w:tabs>
    </w:pPr>
  </w:style>
  <w:style w:type="character" w:customStyle="1" w:styleId="FooterChar">
    <w:name w:val="Footer Char"/>
    <w:basedOn w:val="DefaultParagraphFont"/>
    <w:link w:val="Footer"/>
    <w:uiPriority w:val="99"/>
    <w:rsid w:val="00A728F3"/>
  </w:style>
  <w:style w:type="character" w:styleId="FollowedHyperlink">
    <w:name w:val="FollowedHyperlink"/>
    <w:basedOn w:val="DefaultParagraphFont"/>
    <w:uiPriority w:val="99"/>
    <w:semiHidden/>
    <w:unhideWhenUsed/>
    <w:rsid w:val="009A470D"/>
    <w:rPr>
      <w:color w:val="954F72" w:themeColor="followedHyperlink"/>
      <w:u w:val="single"/>
    </w:rPr>
  </w:style>
  <w:style w:type="character" w:customStyle="1" w:styleId="sssh">
    <w:name w:val="ss_sh"/>
    <w:basedOn w:val="DefaultParagraphFont"/>
    <w:rsid w:val="00BC55C7"/>
  </w:style>
  <w:style w:type="character" w:customStyle="1" w:styleId="ssleftalign">
    <w:name w:val="ss_leftalign"/>
    <w:basedOn w:val="DefaultParagraphFont"/>
    <w:rsid w:val="00BC55C7"/>
  </w:style>
  <w:style w:type="character" w:customStyle="1" w:styleId="ssit">
    <w:name w:val="ss_it"/>
    <w:basedOn w:val="DefaultParagraphFont"/>
    <w:rsid w:val="00BC55C7"/>
  </w:style>
  <w:style w:type="character" w:styleId="PageNumber">
    <w:name w:val="page number"/>
    <w:basedOn w:val="DefaultParagraphFont"/>
    <w:uiPriority w:val="99"/>
    <w:semiHidden/>
    <w:unhideWhenUsed/>
    <w:rsid w:val="00740C0A"/>
  </w:style>
  <w:style w:type="character" w:customStyle="1" w:styleId="Heading1Char">
    <w:name w:val="Heading 1 Char"/>
    <w:basedOn w:val="DefaultParagraphFont"/>
    <w:link w:val="Heading1"/>
    <w:uiPriority w:val="9"/>
    <w:rsid w:val="001B3A40"/>
    <w:rPr>
      <w:rFonts w:ascii="Times New Roman" w:eastAsia="Times New Roman" w:hAnsi="Times New Roman" w:cs="Times New Roman"/>
      <w:b/>
      <w:bCs/>
      <w:kern w:val="36"/>
      <w:sz w:val="48"/>
      <w:szCs w:val="48"/>
    </w:rPr>
  </w:style>
  <w:style w:type="character" w:customStyle="1" w:styleId="modern-footnotes-footnotenote">
    <w:name w:val="modern-footnotes-footnote__note"/>
    <w:basedOn w:val="DefaultParagraphFont"/>
    <w:rsid w:val="000A3979"/>
  </w:style>
  <w:style w:type="character" w:customStyle="1" w:styleId="Heading2Char">
    <w:name w:val="Heading 2 Char"/>
    <w:basedOn w:val="DefaultParagraphFont"/>
    <w:link w:val="Heading2"/>
    <w:uiPriority w:val="9"/>
    <w:rsid w:val="00B3013B"/>
    <w:rPr>
      <w:rFonts w:asciiTheme="majorHAnsi" w:eastAsiaTheme="majorEastAsia" w:hAnsiTheme="majorHAnsi" w:cstheme="majorBidi"/>
      <w:color w:val="2F5496" w:themeColor="accent1" w:themeShade="BF"/>
      <w:sz w:val="26"/>
      <w:szCs w:val="26"/>
    </w:rPr>
  </w:style>
  <w:style w:type="character" w:customStyle="1" w:styleId="citation">
    <w:name w:val="citation"/>
    <w:basedOn w:val="DefaultParagraphFont"/>
    <w:rsid w:val="00B3013B"/>
  </w:style>
  <w:style w:type="character" w:customStyle="1" w:styleId="ssrfcpassagedeactivated">
    <w:name w:val="ss_rfcpassage_deactivated"/>
    <w:basedOn w:val="DefaultParagraphFont"/>
    <w:rsid w:val="00B3013B"/>
  </w:style>
  <w:style w:type="character" w:customStyle="1" w:styleId="query">
    <w:name w:val="query"/>
    <w:basedOn w:val="DefaultParagraphFont"/>
    <w:rsid w:val="00B3013B"/>
  </w:style>
  <w:style w:type="paragraph" w:styleId="BalloonText">
    <w:name w:val="Balloon Text"/>
    <w:basedOn w:val="Normal"/>
    <w:link w:val="BalloonTextChar"/>
    <w:uiPriority w:val="99"/>
    <w:semiHidden/>
    <w:unhideWhenUsed/>
    <w:rsid w:val="000275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7590"/>
    <w:rPr>
      <w:rFonts w:ascii="Times New Roman" w:hAnsi="Times New Roman" w:cs="Times New Roman"/>
      <w:sz w:val="18"/>
      <w:szCs w:val="18"/>
    </w:rPr>
  </w:style>
  <w:style w:type="paragraph" w:styleId="TableofAuthorities">
    <w:name w:val="table of authorities"/>
    <w:basedOn w:val="Normal"/>
    <w:next w:val="Normal"/>
    <w:uiPriority w:val="99"/>
    <w:unhideWhenUsed/>
    <w:rsid w:val="00DF032A"/>
    <w:pPr>
      <w:spacing w:line="259" w:lineRule="auto"/>
      <w:ind w:left="220" w:hanging="220"/>
      <w:jc w:val="both"/>
    </w:pPr>
    <w:rPr>
      <w:szCs w:val="22"/>
    </w:rPr>
  </w:style>
  <w:style w:type="paragraph" w:styleId="TOC5">
    <w:name w:val="toc 5"/>
    <w:basedOn w:val="Normal"/>
    <w:uiPriority w:val="1"/>
    <w:qFormat/>
    <w:rsid w:val="00E26D5A"/>
    <w:pPr>
      <w:widowControl w:val="0"/>
      <w:autoSpaceDE w:val="0"/>
      <w:autoSpaceDN w:val="0"/>
      <w:spacing w:before="19"/>
      <w:ind w:left="2039" w:hanging="399"/>
    </w:pPr>
    <w:rPr>
      <w:rFonts w:ascii="Times New Roman" w:eastAsia="Times New Roman" w:hAnsi="Times New Roman" w:cs="Times New Roman"/>
      <w:b/>
      <w:bCs/>
      <w:i/>
      <w:sz w:val="22"/>
      <w:szCs w:val="22"/>
    </w:rPr>
  </w:style>
  <w:style w:type="character" w:customStyle="1" w:styleId="injectednode">
    <w:name w:val="injectednode"/>
    <w:basedOn w:val="DefaultParagraphFont"/>
    <w:rsid w:val="00D50A48"/>
  </w:style>
  <w:style w:type="character" w:customStyle="1" w:styleId="ssnonpaginatedrptr">
    <w:name w:val="ss_nonpaginatedrptr"/>
    <w:basedOn w:val="DefaultParagraphFont"/>
    <w:rsid w:val="00A81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6603">
      <w:bodyDiv w:val="1"/>
      <w:marLeft w:val="0"/>
      <w:marRight w:val="0"/>
      <w:marTop w:val="0"/>
      <w:marBottom w:val="0"/>
      <w:divBdr>
        <w:top w:val="none" w:sz="0" w:space="0" w:color="auto"/>
        <w:left w:val="none" w:sz="0" w:space="0" w:color="auto"/>
        <w:bottom w:val="none" w:sz="0" w:space="0" w:color="auto"/>
        <w:right w:val="none" w:sz="0" w:space="0" w:color="auto"/>
      </w:divBdr>
    </w:div>
    <w:div w:id="10883456">
      <w:bodyDiv w:val="1"/>
      <w:marLeft w:val="0"/>
      <w:marRight w:val="0"/>
      <w:marTop w:val="0"/>
      <w:marBottom w:val="0"/>
      <w:divBdr>
        <w:top w:val="none" w:sz="0" w:space="0" w:color="auto"/>
        <w:left w:val="none" w:sz="0" w:space="0" w:color="auto"/>
        <w:bottom w:val="none" w:sz="0" w:space="0" w:color="auto"/>
        <w:right w:val="none" w:sz="0" w:space="0" w:color="auto"/>
      </w:divBdr>
    </w:div>
    <w:div w:id="27876273">
      <w:bodyDiv w:val="1"/>
      <w:marLeft w:val="0"/>
      <w:marRight w:val="0"/>
      <w:marTop w:val="0"/>
      <w:marBottom w:val="0"/>
      <w:divBdr>
        <w:top w:val="none" w:sz="0" w:space="0" w:color="auto"/>
        <w:left w:val="none" w:sz="0" w:space="0" w:color="auto"/>
        <w:bottom w:val="none" w:sz="0" w:space="0" w:color="auto"/>
        <w:right w:val="none" w:sz="0" w:space="0" w:color="auto"/>
      </w:divBdr>
    </w:div>
    <w:div w:id="68771552">
      <w:bodyDiv w:val="1"/>
      <w:marLeft w:val="0"/>
      <w:marRight w:val="0"/>
      <w:marTop w:val="0"/>
      <w:marBottom w:val="0"/>
      <w:divBdr>
        <w:top w:val="none" w:sz="0" w:space="0" w:color="auto"/>
        <w:left w:val="none" w:sz="0" w:space="0" w:color="auto"/>
        <w:bottom w:val="none" w:sz="0" w:space="0" w:color="auto"/>
        <w:right w:val="none" w:sz="0" w:space="0" w:color="auto"/>
      </w:divBdr>
    </w:div>
    <w:div w:id="75976647">
      <w:bodyDiv w:val="1"/>
      <w:marLeft w:val="0"/>
      <w:marRight w:val="0"/>
      <w:marTop w:val="0"/>
      <w:marBottom w:val="0"/>
      <w:divBdr>
        <w:top w:val="none" w:sz="0" w:space="0" w:color="auto"/>
        <w:left w:val="none" w:sz="0" w:space="0" w:color="auto"/>
        <w:bottom w:val="none" w:sz="0" w:space="0" w:color="auto"/>
        <w:right w:val="none" w:sz="0" w:space="0" w:color="auto"/>
      </w:divBdr>
      <w:divsChild>
        <w:div w:id="462846518">
          <w:marLeft w:val="0"/>
          <w:marRight w:val="0"/>
          <w:marTop w:val="0"/>
          <w:marBottom w:val="0"/>
          <w:divBdr>
            <w:top w:val="none" w:sz="0" w:space="0" w:color="auto"/>
            <w:left w:val="none" w:sz="0" w:space="0" w:color="auto"/>
            <w:bottom w:val="none" w:sz="0" w:space="0" w:color="auto"/>
            <w:right w:val="none" w:sz="0" w:space="0" w:color="auto"/>
          </w:divBdr>
          <w:divsChild>
            <w:div w:id="1372537264">
              <w:marLeft w:val="0"/>
              <w:marRight w:val="0"/>
              <w:marTop w:val="0"/>
              <w:marBottom w:val="0"/>
              <w:divBdr>
                <w:top w:val="none" w:sz="0" w:space="0" w:color="auto"/>
                <w:left w:val="none" w:sz="0" w:space="0" w:color="auto"/>
                <w:bottom w:val="none" w:sz="0" w:space="0" w:color="auto"/>
                <w:right w:val="none" w:sz="0" w:space="0" w:color="auto"/>
              </w:divBdr>
              <w:divsChild>
                <w:div w:id="167680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79106">
      <w:bodyDiv w:val="1"/>
      <w:marLeft w:val="0"/>
      <w:marRight w:val="0"/>
      <w:marTop w:val="0"/>
      <w:marBottom w:val="0"/>
      <w:divBdr>
        <w:top w:val="none" w:sz="0" w:space="0" w:color="auto"/>
        <w:left w:val="none" w:sz="0" w:space="0" w:color="auto"/>
        <w:bottom w:val="none" w:sz="0" w:space="0" w:color="auto"/>
        <w:right w:val="none" w:sz="0" w:space="0" w:color="auto"/>
      </w:divBdr>
      <w:divsChild>
        <w:div w:id="723914123">
          <w:marLeft w:val="0"/>
          <w:marRight w:val="0"/>
          <w:marTop w:val="0"/>
          <w:marBottom w:val="0"/>
          <w:divBdr>
            <w:top w:val="none" w:sz="0" w:space="0" w:color="auto"/>
            <w:left w:val="none" w:sz="0" w:space="0" w:color="auto"/>
            <w:bottom w:val="none" w:sz="0" w:space="0" w:color="auto"/>
            <w:right w:val="none" w:sz="0" w:space="0" w:color="auto"/>
          </w:divBdr>
          <w:divsChild>
            <w:div w:id="120004671">
              <w:marLeft w:val="0"/>
              <w:marRight w:val="0"/>
              <w:marTop w:val="0"/>
              <w:marBottom w:val="0"/>
              <w:divBdr>
                <w:top w:val="none" w:sz="0" w:space="0" w:color="auto"/>
                <w:left w:val="none" w:sz="0" w:space="0" w:color="auto"/>
                <w:bottom w:val="none" w:sz="0" w:space="0" w:color="auto"/>
                <w:right w:val="none" w:sz="0" w:space="0" w:color="auto"/>
              </w:divBdr>
              <w:divsChild>
                <w:div w:id="18675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1133">
      <w:bodyDiv w:val="1"/>
      <w:marLeft w:val="0"/>
      <w:marRight w:val="0"/>
      <w:marTop w:val="0"/>
      <w:marBottom w:val="0"/>
      <w:divBdr>
        <w:top w:val="none" w:sz="0" w:space="0" w:color="auto"/>
        <w:left w:val="none" w:sz="0" w:space="0" w:color="auto"/>
        <w:bottom w:val="none" w:sz="0" w:space="0" w:color="auto"/>
        <w:right w:val="none" w:sz="0" w:space="0" w:color="auto"/>
      </w:divBdr>
    </w:div>
    <w:div w:id="231628042">
      <w:bodyDiv w:val="1"/>
      <w:marLeft w:val="0"/>
      <w:marRight w:val="0"/>
      <w:marTop w:val="0"/>
      <w:marBottom w:val="0"/>
      <w:divBdr>
        <w:top w:val="none" w:sz="0" w:space="0" w:color="auto"/>
        <w:left w:val="none" w:sz="0" w:space="0" w:color="auto"/>
        <w:bottom w:val="none" w:sz="0" w:space="0" w:color="auto"/>
        <w:right w:val="none" w:sz="0" w:space="0" w:color="auto"/>
      </w:divBdr>
    </w:div>
    <w:div w:id="235240446">
      <w:bodyDiv w:val="1"/>
      <w:marLeft w:val="0"/>
      <w:marRight w:val="0"/>
      <w:marTop w:val="0"/>
      <w:marBottom w:val="0"/>
      <w:divBdr>
        <w:top w:val="none" w:sz="0" w:space="0" w:color="auto"/>
        <w:left w:val="none" w:sz="0" w:space="0" w:color="auto"/>
        <w:bottom w:val="none" w:sz="0" w:space="0" w:color="auto"/>
        <w:right w:val="none" w:sz="0" w:space="0" w:color="auto"/>
      </w:divBdr>
    </w:div>
    <w:div w:id="261571462">
      <w:bodyDiv w:val="1"/>
      <w:marLeft w:val="0"/>
      <w:marRight w:val="0"/>
      <w:marTop w:val="0"/>
      <w:marBottom w:val="0"/>
      <w:divBdr>
        <w:top w:val="none" w:sz="0" w:space="0" w:color="auto"/>
        <w:left w:val="none" w:sz="0" w:space="0" w:color="auto"/>
        <w:bottom w:val="none" w:sz="0" w:space="0" w:color="auto"/>
        <w:right w:val="none" w:sz="0" w:space="0" w:color="auto"/>
      </w:divBdr>
    </w:div>
    <w:div w:id="279145266">
      <w:bodyDiv w:val="1"/>
      <w:marLeft w:val="0"/>
      <w:marRight w:val="0"/>
      <w:marTop w:val="0"/>
      <w:marBottom w:val="0"/>
      <w:divBdr>
        <w:top w:val="none" w:sz="0" w:space="0" w:color="auto"/>
        <w:left w:val="none" w:sz="0" w:space="0" w:color="auto"/>
        <w:bottom w:val="none" w:sz="0" w:space="0" w:color="auto"/>
        <w:right w:val="none" w:sz="0" w:space="0" w:color="auto"/>
      </w:divBdr>
    </w:div>
    <w:div w:id="299309727">
      <w:bodyDiv w:val="1"/>
      <w:marLeft w:val="0"/>
      <w:marRight w:val="0"/>
      <w:marTop w:val="0"/>
      <w:marBottom w:val="0"/>
      <w:divBdr>
        <w:top w:val="none" w:sz="0" w:space="0" w:color="auto"/>
        <w:left w:val="none" w:sz="0" w:space="0" w:color="auto"/>
        <w:bottom w:val="none" w:sz="0" w:space="0" w:color="auto"/>
        <w:right w:val="none" w:sz="0" w:space="0" w:color="auto"/>
      </w:divBdr>
    </w:div>
    <w:div w:id="324631153">
      <w:bodyDiv w:val="1"/>
      <w:marLeft w:val="0"/>
      <w:marRight w:val="0"/>
      <w:marTop w:val="0"/>
      <w:marBottom w:val="0"/>
      <w:divBdr>
        <w:top w:val="none" w:sz="0" w:space="0" w:color="auto"/>
        <w:left w:val="none" w:sz="0" w:space="0" w:color="auto"/>
        <w:bottom w:val="none" w:sz="0" w:space="0" w:color="auto"/>
        <w:right w:val="none" w:sz="0" w:space="0" w:color="auto"/>
      </w:divBdr>
    </w:div>
    <w:div w:id="329866336">
      <w:bodyDiv w:val="1"/>
      <w:marLeft w:val="0"/>
      <w:marRight w:val="0"/>
      <w:marTop w:val="0"/>
      <w:marBottom w:val="0"/>
      <w:divBdr>
        <w:top w:val="none" w:sz="0" w:space="0" w:color="auto"/>
        <w:left w:val="none" w:sz="0" w:space="0" w:color="auto"/>
        <w:bottom w:val="none" w:sz="0" w:space="0" w:color="auto"/>
        <w:right w:val="none" w:sz="0" w:space="0" w:color="auto"/>
      </w:divBdr>
    </w:div>
    <w:div w:id="487290253">
      <w:bodyDiv w:val="1"/>
      <w:marLeft w:val="0"/>
      <w:marRight w:val="0"/>
      <w:marTop w:val="0"/>
      <w:marBottom w:val="0"/>
      <w:divBdr>
        <w:top w:val="none" w:sz="0" w:space="0" w:color="auto"/>
        <w:left w:val="none" w:sz="0" w:space="0" w:color="auto"/>
        <w:bottom w:val="none" w:sz="0" w:space="0" w:color="auto"/>
        <w:right w:val="none" w:sz="0" w:space="0" w:color="auto"/>
      </w:divBdr>
      <w:divsChild>
        <w:div w:id="239025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672430">
              <w:marLeft w:val="0"/>
              <w:marRight w:val="0"/>
              <w:marTop w:val="0"/>
              <w:marBottom w:val="0"/>
              <w:divBdr>
                <w:top w:val="none" w:sz="0" w:space="0" w:color="auto"/>
                <w:left w:val="none" w:sz="0" w:space="0" w:color="auto"/>
                <w:bottom w:val="none" w:sz="0" w:space="0" w:color="auto"/>
                <w:right w:val="none" w:sz="0" w:space="0" w:color="auto"/>
              </w:divBdr>
              <w:divsChild>
                <w:div w:id="881357189">
                  <w:marLeft w:val="0"/>
                  <w:marRight w:val="0"/>
                  <w:marTop w:val="0"/>
                  <w:marBottom w:val="0"/>
                  <w:divBdr>
                    <w:top w:val="none" w:sz="0" w:space="0" w:color="auto"/>
                    <w:left w:val="none" w:sz="0" w:space="0" w:color="auto"/>
                    <w:bottom w:val="none" w:sz="0" w:space="0" w:color="auto"/>
                    <w:right w:val="none" w:sz="0" w:space="0" w:color="auto"/>
                  </w:divBdr>
                  <w:divsChild>
                    <w:div w:id="1669457">
                      <w:marLeft w:val="0"/>
                      <w:marRight w:val="0"/>
                      <w:marTop w:val="0"/>
                      <w:marBottom w:val="0"/>
                      <w:divBdr>
                        <w:top w:val="none" w:sz="0" w:space="0" w:color="auto"/>
                        <w:left w:val="none" w:sz="0" w:space="0" w:color="auto"/>
                        <w:bottom w:val="none" w:sz="0" w:space="0" w:color="auto"/>
                        <w:right w:val="none" w:sz="0" w:space="0" w:color="auto"/>
                      </w:divBdr>
                      <w:divsChild>
                        <w:div w:id="329022372">
                          <w:marLeft w:val="0"/>
                          <w:marRight w:val="0"/>
                          <w:marTop w:val="0"/>
                          <w:marBottom w:val="0"/>
                          <w:divBdr>
                            <w:top w:val="none" w:sz="0" w:space="0" w:color="auto"/>
                            <w:left w:val="none" w:sz="0" w:space="0" w:color="auto"/>
                            <w:bottom w:val="none" w:sz="0" w:space="0" w:color="auto"/>
                            <w:right w:val="none" w:sz="0" w:space="0" w:color="auto"/>
                          </w:divBdr>
                          <w:divsChild>
                            <w:div w:id="644428003">
                              <w:marLeft w:val="0"/>
                              <w:marRight w:val="0"/>
                              <w:marTop w:val="0"/>
                              <w:marBottom w:val="0"/>
                              <w:divBdr>
                                <w:top w:val="none" w:sz="0" w:space="0" w:color="auto"/>
                                <w:left w:val="none" w:sz="0" w:space="0" w:color="auto"/>
                                <w:bottom w:val="none" w:sz="0" w:space="0" w:color="auto"/>
                                <w:right w:val="none" w:sz="0" w:space="0" w:color="auto"/>
                              </w:divBdr>
                              <w:divsChild>
                                <w:div w:id="1746682772">
                                  <w:marLeft w:val="0"/>
                                  <w:marRight w:val="0"/>
                                  <w:marTop w:val="0"/>
                                  <w:marBottom w:val="0"/>
                                  <w:divBdr>
                                    <w:top w:val="none" w:sz="0" w:space="0" w:color="auto"/>
                                    <w:left w:val="none" w:sz="0" w:space="0" w:color="auto"/>
                                    <w:bottom w:val="none" w:sz="0" w:space="0" w:color="auto"/>
                                    <w:right w:val="none" w:sz="0" w:space="0" w:color="auto"/>
                                  </w:divBdr>
                                  <w:divsChild>
                                    <w:div w:id="488256426">
                                      <w:marLeft w:val="0"/>
                                      <w:marRight w:val="0"/>
                                      <w:marTop w:val="0"/>
                                      <w:marBottom w:val="0"/>
                                      <w:divBdr>
                                        <w:top w:val="none" w:sz="0" w:space="0" w:color="auto"/>
                                        <w:left w:val="none" w:sz="0" w:space="0" w:color="auto"/>
                                        <w:bottom w:val="none" w:sz="0" w:space="0" w:color="auto"/>
                                        <w:right w:val="none" w:sz="0" w:space="0" w:color="auto"/>
                                      </w:divBdr>
                                    </w:div>
                                    <w:div w:id="551623100">
                                      <w:marLeft w:val="0"/>
                                      <w:marRight w:val="0"/>
                                      <w:marTop w:val="0"/>
                                      <w:marBottom w:val="0"/>
                                      <w:divBdr>
                                        <w:top w:val="none" w:sz="0" w:space="0" w:color="auto"/>
                                        <w:left w:val="none" w:sz="0" w:space="0" w:color="auto"/>
                                        <w:bottom w:val="none" w:sz="0" w:space="0" w:color="auto"/>
                                        <w:right w:val="none" w:sz="0" w:space="0" w:color="auto"/>
                                      </w:divBdr>
                                    </w:div>
                                    <w:div w:id="1480922418">
                                      <w:marLeft w:val="0"/>
                                      <w:marRight w:val="0"/>
                                      <w:marTop w:val="0"/>
                                      <w:marBottom w:val="0"/>
                                      <w:divBdr>
                                        <w:top w:val="none" w:sz="0" w:space="0" w:color="auto"/>
                                        <w:left w:val="none" w:sz="0" w:space="0" w:color="auto"/>
                                        <w:bottom w:val="none" w:sz="0" w:space="0" w:color="auto"/>
                                        <w:right w:val="none" w:sz="0" w:space="0" w:color="auto"/>
                                      </w:divBdr>
                                    </w:div>
                                    <w:div w:id="808595713">
                                      <w:marLeft w:val="0"/>
                                      <w:marRight w:val="0"/>
                                      <w:marTop w:val="0"/>
                                      <w:marBottom w:val="0"/>
                                      <w:divBdr>
                                        <w:top w:val="none" w:sz="0" w:space="0" w:color="auto"/>
                                        <w:left w:val="none" w:sz="0" w:space="0" w:color="auto"/>
                                        <w:bottom w:val="none" w:sz="0" w:space="0" w:color="auto"/>
                                        <w:right w:val="none" w:sz="0" w:space="0" w:color="auto"/>
                                      </w:divBdr>
                                    </w:div>
                                    <w:div w:id="1096634504">
                                      <w:marLeft w:val="0"/>
                                      <w:marRight w:val="0"/>
                                      <w:marTop w:val="0"/>
                                      <w:marBottom w:val="0"/>
                                      <w:divBdr>
                                        <w:top w:val="none" w:sz="0" w:space="0" w:color="auto"/>
                                        <w:left w:val="none" w:sz="0" w:space="0" w:color="auto"/>
                                        <w:bottom w:val="none" w:sz="0" w:space="0" w:color="auto"/>
                                        <w:right w:val="none" w:sz="0" w:space="0" w:color="auto"/>
                                      </w:divBdr>
                                      <w:divsChild>
                                        <w:div w:id="1786776772">
                                          <w:marLeft w:val="0"/>
                                          <w:marRight w:val="0"/>
                                          <w:marTop w:val="0"/>
                                          <w:marBottom w:val="0"/>
                                          <w:divBdr>
                                            <w:top w:val="none" w:sz="0" w:space="0" w:color="auto"/>
                                            <w:left w:val="none" w:sz="0" w:space="0" w:color="auto"/>
                                            <w:bottom w:val="none" w:sz="0" w:space="0" w:color="auto"/>
                                            <w:right w:val="none" w:sz="0" w:space="0" w:color="auto"/>
                                          </w:divBdr>
                                        </w:div>
                                      </w:divsChild>
                                    </w:div>
                                    <w:div w:id="228198968">
                                      <w:marLeft w:val="0"/>
                                      <w:marRight w:val="0"/>
                                      <w:marTop w:val="0"/>
                                      <w:marBottom w:val="0"/>
                                      <w:divBdr>
                                        <w:top w:val="none" w:sz="0" w:space="0" w:color="auto"/>
                                        <w:left w:val="none" w:sz="0" w:space="0" w:color="auto"/>
                                        <w:bottom w:val="none" w:sz="0" w:space="0" w:color="auto"/>
                                        <w:right w:val="none" w:sz="0" w:space="0" w:color="auto"/>
                                      </w:divBdr>
                                    </w:div>
                                    <w:div w:id="18041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954920">
      <w:bodyDiv w:val="1"/>
      <w:marLeft w:val="0"/>
      <w:marRight w:val="0"/>
      <w:marTop w:val="0"/>
      <w:marBottom w:val="0"/>
      <w:divBdr>
        <w:top w:val="none" w:sz="0" w:space="0" w:color="auto"/>
        <w:left w:val="none" w:sz="0" w:space="0" w:color="auto"/>
        <w:bottom w:val="none" w:sz="0" w:space="0" w:color="auto"/>
        <w:right w:val="none" w:sz="0" w:space="0" w:color="auto"/>
      </w:divBdr>
    </w:div>
    <w:div w:id="544223387">
      <w:bodyDiv w:val="1"/>
      <w:marLeft w:val="0"/>
      <w:marRight w:val="0"/>
      <w:marTop w:val="0"/>
      <w:marBottom w:val="0"/>
      <w:divBdr>
        <w:top w:val="none" w:sz="0" w:space="0" w:color="auto"/>
        <w:left w:val="none" w:sz="0" w:space="0" w:color="auto"/>
        <w:bottom w:val="none" w:sz="0" w:space="0" w:color="auto"/>
        <w:right w:val="none" w:sz="0" w:space="0" w:color="auto"/>
      </w:divBdr>
    </w:div>
    <w:div w:id="604462296">
      <w:bodyDiv w:val="1"/>
      <w:marLeft w:val="0"/>
      <w:marRight w:val="0"/>
      <w:marTop w:val="0"/>
      <w:marBottom w:val="0"/>
      <w:divBdr>
        <w:top w:val="none" w:sz="0" w:space="0" w:color="auto"/>
        <w:left w:val="none" w:sz="0" w:space="0" w:color="auto"/>
        <w:bottom w:val="none" w:sz="0" w:space="0" w:color="auto"/>
        <w:right w:val="none" w:sz="0" w:space="0" w:color="auto"/>
      </w:divBdr>
      <w:divsChild>
        <w:div w:id="624584685">
          <w:marLeft w:val="0"/>
          <w:marRight w:val="0"/>
          <w:marTop w:val="0"/>
          <w:marBottom w:val="0"/>
          <w:divBdr>
            <w:top w:val="none" w:sz="0" w:space="0" w:color="auto"/>
            <w:left w:val="none" w:sz="0" w:space="0" w:color="auto"/>
            <w:bottom w:val="none" w:sz="0" w:space="0" w:color="auto"/>
            <w:right w:val="none" w:sz="0" w:space="0" w:color="auto"/>
          </w:divBdr>
          <w:divsChild>
            <w:div w:id="859858802">
              <w:marLeft w:val="0"/>
              <w:marRight w:val="0"/>
              <w:marTop w:val="0"/>
              <w:marBottom w:val="0"/>
              <w:divBdr>
                <w:top w:val="none" w:sz="0" w:space="0" w:color="auto"/>
                <w:left w:val="none" w:sz="0" w:space="0" w:color="auto"/>
                <w:bottom w:val="none" w:sz="0" w:space="0" w:color="auto"/>
                <w:right w:val="none" w:sz="0" w:space="0" w:color="auto"/>
              </w:divBdr>
              <w:divsChild>
                <w:div w:id="187323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5317">
      <w:bodyDiv w:val="1"/>
      <w:marLeft w:val="0"/>
      <w:marRight w:val="0"/>
      <w:marTop w:val="0"/>
      <w:marBottom w:val="0"/>
      <w:divBdr>
        <w:top w:val="none" w:sz="0" w:space="0" w:color="auto"/>
        <w:left w:val="none" w:sz="0" w:space="0" w:color="auto"/>
        <w:bottom w:val="none" w:sz="0" w:space="0" w:color="auto"/>
        <w:right w:val="none" w:sz="0" w:space="0" w:color="auto"/>
      </w:divBdr>
    </w:div>
    <w:div w:id="627858029">
      <w:bodyDiv w:val="1"/>
      <w:marLeft w:val="0"/>
      <w:marRight w:val="0"/>
      <w:marTop w:val="0"/>
      <w:marBottom w:val="0"/>
      <w:divBdr>
        <w:top w:val="none" w:sz="0" w:space="0" w:color="auto"/>
        <w:left w:val="none" w:sz="0" w:space="0" w:color="auto"/>
        <w:bottom w:val="none" w:sz="0" w:space="0" w:color="auto"/>
        <w:right w:val="none" w:sz="0" w:space="0" w:color="auto"/>
      </w:divBdr>
    </w:div>
    <w:div w:id="655302223">
      <w:bodyDiv w:val="1"/>
      <w:marLeft w:val="0"/>
      <w:marRight w:val="0"/>
      <w:marTop w:val="0"/>
      <w:marBottom w:val="0"/>
      <w:divBdr>
        <w:top w:val="none" w:sz="0" w:space="0" w:color="auto"/>
        <w:left w:val="none" w:sz="0" w:space="0" w:color="auto"/>
        <w:bottom w:val="none" w:sz="0" w:space="0" w:color="auto"/>
        <w:right w:val="none" w:sz="0" w:space="0" w:color="auto"/>
      </w:divBdr>
    </w:div>
    <w:div w:id="662972543">
      <w:bodyDiv w:val="1"/>
      <w:marLeft w:val="0"/>
      <w:marRight w:val="0"/>
      <w:marTop w:val="0"/>
      <w:marBottom w:val="0"/>
      <w:divBdr>
        <w:top w:val="none" w:sz="0" w:space="0" w:color="auto"/>
        <w:left w:val="none" w:sz="0" w:space="0" w:color="auto"/>
        <w:bottom w:val="none" w:sz="0" w:space="0" w:color="auto"/>
        <w:right w:val="none" w:sz="0" w:space="0" w:color="auto"/>
      </w:divBdr>
    </w:div>
    <w:div w:id="666979767">
      <w:bodyDiv w:val="1"/>
      <w:marLeft w:val="0"/>
      <w:marRight w:val="0"/>
      <w:marTop w:val="0"/>
      <w:marBottom w:val="0"/>
      <w:divBdr>
        <w:top w:val="none" w:sz="0" w:space="0" w:color="auto"/>
        <w:left w:val="none" w:sz="0" w:space="0" w:color="auto"/>
        <w:bottom w:val="none" w:sz="0" w:space="0" w:color="auto"/>
        <w:right w:val="none" w:sz="0" w:space="0" w:color="auto"/>
      </w:divBdr>
    </w:div>
    <w:div w:id="682165123">
      <w:bodyDiv w:val="1"/>
      <w:marLeft w:val="0"/>
      <w:marRight w:val="0"/>
      <w:marTop w:val="0"/>
      <w:marBottom w:val="0"/>
      <w:divBdr>
        <w:top w:val="none" w:sz="0" w:space="0" w:color="auto"/>
        <w:left w:val="none" w:sz="0" w:space="0" w:color="auto"/>
        <w:bottom w:val="none" w:sz="0" w:space="0" w:color="auto"/>
        <w:right w:val="none" w:sz="0" w:space="0" w:color="auto"/>
      </w:divBdr>
    </w:div>
    <w:div w:id="713694342">
      <w:bodyDiv w:val="1"/>
      <w:marLeft w:val="0"/>
      <w:marRight w:val="0"/>
      <w:marTop w:val="0"/>
      <w:marBottom w:val="0"/>
      <w:divBdr>
        <w:top w:val="none" w:sz="0" w:space="0" w:color="auto"/>
        <w:left w:val="none" w:sz="0" w:space="0" w:color="auto"/>
        <w:bottom w:val="none" w:sz="0" w:space="0" w:color="auto"/>
        <w:right w:val="none" w:sz="0" w:space="0" w:color="auto"/>
      </w:divBdr>
    </w:div>
    <w:div w:id="739406755">
      <w:bodyDiv w:val="1"/>
      <w:marLeft w:val="0"/>
      <w:marRight w:val="0"/>
      <w:marTop w:val="0"/>
      <w:marBottom w:val="0"/>
      <w:divBdr>
        <w:top w:val="none" w:sz="0" w:space="0" w:color="auto"/>
        <w:left w:val="none" w:sz="0" w:space="0" w:color="auto"/>
        <w:bottom w:val="none" w:sz="0" w:space="0" w:color="auto"/>
        <w:right w:val="none" w:sz="0" w:space="0" w:color="auto"/>
      </w:divBdr>
    </w:div>
    <w:div w:id="758451505">
      <w:bodyDiv w:val="1"/>
      <w:marLeft w:val="0"/>
      <w:marRight w:val="0"/>
      <w:marTop w:val="0"/>
      <w:marBottom w:val="0"/>
      <w:divBdr>
        <w:top w:val="none" w:sz="0" w:space="0" w:color="auto"/>
        <w:left w:val="none" w:sz="0" w:space="0" w:color="auto"/>
        <w:bottom w:val="none" w:sz="0" w:space="0" w:color="auto"/>
        <w:right w:val="none" w:sz="0" w:space="0" w:color="auto"/>
      </w:divBdr>
    </w:div>
    <w:div w:id="791555160">
      <w:bodyDiv w:val="1"/>
      <w:marLeft w:val="0"/>
      <w:marRight w:val="0"/>
      <w:marTop w:val="0"/>
      <w:marBottom w:val="0"/>
      <w:divBdr>
        <w:top w:val="none" w:sz="0" w:space="0" w:color="auto"/>
        <w:left w:val="none" w:sz="0" w:space="0" w:color="auto"/>
        <w:bottom w:val="none" w:sz="0" w:space="0" w:color="auto"/>
        <w:right w:val="none" w:sz="0" w:space="0" w:color="auto"/>
      </w:divBdr>
    </w:div>
    <w:div w:id="806967560">
      <w:bodyDiv w:val="1"/>
      <w:marLeft w:val="0"/>
      <w:marRight w:val="0"/>
      <w:marTop w:val="0"/>
      <w:marBottom w:val="0"/>
      <w:divBdr>
        <w:top w:val="none" w:sz="0" w:space="0" w:color="auto"/>
        <w:left w:val="none" w:sz="0" w:space="0" w:color="auto"/>
        <w:bottom w:val="none" w:sz="0" w:space="0" w:color="auto"/>
        <w:right w:val="none" w:sz="0" w:space="0" w:color="auto"/>
      </w:divBdr>
      <w:divsChild>
        <w:div w:id="862785401">
          <w:marLeft w:val="0"/>
          <w:marRight w:val="0"/>
          <w:marTop w:val="0"/>
          <w:marBottom w:val="0"/>
          <w:divBdr>
            <w:top w:val="none" w:sz="0" w:space="0" w:color="auto"/>
            <w:left w:val="none" w:sz="0" w:space="0" w:color="auto"/>
            <w:bottom w:val="none" w:sz="0" w:space="0" w:color="auto"/>
            <w:right w:val="none" w:sz="0" w:space="0" w:color="auto"/>
          </w:divBdr>
          <w:divsChild>
            <w:div w:id="720134924">
              <w:marLeft w:val="0"/>
              <w:marRight w:val="0"/>
              <w:marTop w:val="0"/>
              <w:marBottom w:val="0"/>
              <w:divBdr>
                <w:top w:val="none" w:sz="0" w:space="0" w:color="auto"/>
                <w:left w:val="none" w:sz="0" w:space="0" w:color="auto"/>
                <w:bottom w:val="none" w:sz="0" w:space="0" w:color="auto"/>
                <w:right w:val="none" w:sz="0" w:space="0" w:color="auto"/>
              </w:divBdr>
              <w:divsChild>
                <w:div w:id="48920739">
                  <w:marLeft w:val="0"/>
                  <w:marRight w:val="0"/>
                  <w:marTop w:val="0"/>
                  <w:marBottom w:val="0"/>
                  <w:divBdr>
                    <w:top w:val="none" w:sz="0" w:space="0" w:color="auto"/>
                    <w:left w:val="none" w:sz="0" w:space="0" w:color="auto"/>
                    <w:bottom w:val="none" w:sz="0" w:space="0" w:color="auto"/>
                    <w:right w:val="none" w:sz="0" w:space="0" w:color="auto"/>
                  </w:divBdr>
                </w:div>
              </w:divsChild>
            </w:div>
            <w:div w:id="851838751">
              <w:marLeft w:val="0"/>
              <w:marRight w:val="0"/>
              <w:marTop w:val="0"/>
              <w:marBottom w:val="0"/>
              <w:divBdr>
                <w:top w:val="none" w:sz="0" w:space="0" w:color="auto"/>
                <w:left w:val="none" w:sz="0" w:space="0" w:color="auto"/>
                <w:bottom w:val="none" w:sz="0" w:space="0" w:color="auto"/>
                <w:right w:val="none" w:sz="0" w:space="0" w:color="auto"/>
              </w:divBdr>
              <w:divsChild>
                <w:div w:id="20674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47994">
      <w:bodyDiv w:val="1"/>
      <w:marLeft w:val="0"/>
      <w:marRight w:val="0"/>
      <w:marTop w:val="0"/>
      <w:marBottom w:val="0"/>
      <w:divBdr>
        <w:top w:val="none" w:sz="0" w:space="0" w:color="auto"/>
        <w:left w:val="none" w:sz="0" w:space="0" w:color="auto"/>
        <w:bottom w:val="none" w:sz="0" w:space="0" w:color="auto"/>
        <w:right w:val="none" w:sz="0" w:space="0" w:color="auto"/>
      </w:divBdr>
    </w:div>
    <w:div w:id="864178567">
      <w:bodyDiv w:val="1"/>
      <w:marLeft w:val="0"/>
      <w:marRight w:val="0"/>
      <w:marTop w:val="0"/>
      <w:marBottom w:val="0"/>
      <w:divBdr>
        <w:top w:val="none" w:sz="0" w:space="0" w:color="auto"/>
        <w:left w:val="none" w:sz="0" w:space="0" w:color="auto"/>
        <w:bottom w:val="none" w:sz="0" w:space="0" w:color="auto"/>
        <w:right w:val="none" w:sz="0" w:space="0" w:color="auto"/>
      </w:divBdr>
    </w:div>
    <w:div w:id="881210102">
      <w:bodyDiv w:val="1"/>
      <w:marLeft w:val="0"/>
      <w:marRight w:val="0"/>
      <w:marTop w:val="0"/>
      <w:marBottom w:val="0"/>
      <w:divBdr>
        <w:top w:val="none" w:sz="0" w:space="0" w:color="auto"/>
        <w:left w:val="none" w:sz="0" w:space="0" w:color="auto"/>
        <w:bottom w:val="none" w:sz="0" w:space="0" w:color="auto"/>
        <w:right w:val="none" w:sz="0" w:space="0" w:color="auto"/>
      </w:divBdr>
      <w:divsChild>
        <w:div w:id="996420859">
          <w:marLeft w:val="0"/>
          <w:marRight w:val="0"/>
          <w:marTop w:val="0"/>
          <w:marBottom w:val="0"/>
          <w:divBdr>
            <w:top w:val="none" w:sz="0" w:space="0" w:color="auto"/>
            <w:left w:val="none" w:sz="0" w:space="0" w:color="auto"/>
            <w:bottom w:val="none" w:sz="0" w:space="0" w:color="auto"/>
            <w:right w:val="none" w:sz="0" w:space="0" w:color="auto"/>
          </w:divBdr>
          <w:divsChild>
            <w:div w:id="1179151974">
              <w:marLeft w:val="0"/>
              <w:marRight w:val="0"/>
              <w:marTop w:val="0"/>
              <w:marBottom w:val="0"/>
              <w:divBdr>
                <w:top w:val="none" w:sz="0" w:space="0" w:color="auto"/>
                <w:left w:val="none" w:sz="0" w:space="0" w:color="auto"/>
                <w:bottom w:val="none" w:sz="0" w:space="0" w:color="auto"/>
                <w:right w:val="none" w:sz="0" w:space="0" w:color="auto"/>
              </w:divBdr>
              <w:divsChild>
                <w:div w:id="1027415592">
                  <w:marLeft w:val="0"/>
                  <w:marRight w:val="0"/>
                  <w:marTop w:val="0"/>
                  <w:marBottom w:val="0"/>
                  <w:divBdr>
                    <w:top w:val="none" w:sz="0" w:space="0" w:color="auto"/>
                    <w:left w:val="none" w:sz="0" w:space="0" w:color="auto"/>
                    <w:bottom w:val="none" w:sz="0" w:space="0" w:color="auto"/>
                    <w:right w:val="none" w:sz="0" w:space="0" w:color="auto"/>
                  </w:divBdr>
                </w:div>
                <w:div w:id="36247238">
                  <w:marLeft w:val="0"/>
                  <w:marRight w:val="0"/>
                  <w:marTop w:val="0"/>
                  <w:marBottom w:val="0"/>
                  <w:divBdr>
                    <w:top w:val="none" w:sz="0" w:space="0" w:color="auto"/>
                    <w:left w:val="none" w:sz="0" w:space="0" w:color="auto"/>
                    <w:bottom w:val="none" w:sz="0" w:space="0" w:color="auto"/>
                    <w:right w:val="none" w:sz="0" w:space="0" w:color="auto"/>
                  </w:divBdr>
                </w:div>
              </w:divsChild>
            </w:div>
            <w:div w:id="1208954801">
              <w:marLeft w:val="0"/>
              <w:marRight w:val="0"/>
              <w:marTop w:val="0"/>
              <w:marBottom w:val="0"/>
              <w:divBdr>
                <w:top w:val="none" w:sz="0" w:space="0" w:color="auto"/>
                <w:left w:val="none" w:sz="0" w:space="0" w:color="auto"/>
                <w:bottom w:val="none" w:sz="0" w:space="0" w:color="auto"/>
                <w:right w:val="none" w:sz="0" w:space="0" w:color="auto"/>
              </w:divBdr>
              <w:divsChild>
                <w:div w:id="173554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88102">
      <w:bodyDiv w:val="1"/>
      <w:marLeft w:val="0"/>
      <w:marRight w:val="0"/>
      <w:marTop w:val="0"/>
      <w:marBottom w:val="0"/>
      <w:divBdr>
        <w:top w:val="none" w:sz="0" w:space="0" w:color="auto"/>
        <w:left w:val="none" w:sz="0" w:space="0" w:color="auto"/>
        <w:bottom w:val="none" w:sz="0" w:space="0" w:color="auto"/>
        <w:right w:val="none" w:sz="0" w:space="0" w:color="auto"/>
      </w:divBdr>
    </w:div>
    <w:div w:id="890963325">
      <w:bodyDiv w:val="1"/>
      <w:marLeft w:val="0"/>
      <w:marRight w:val="0"/>
      <w:marTop w:val="0"/>
      <w:marBottom w:val="0"/>
      <w:divBdr>
        <w:top w:val="none" w:sz="0" w:space="0" w:color="auto"/>
        <w:left w:val="none" w:sz="0" w:space="0" w:color="auto"/>
        <w:bottom w:val="none" w:sz="0" w:space="0" w:color="auto"/>
        <w:right w:val="none" w:sz="0" w:space="0" w:color="auto"/>
      </w:divBdr>
    </w:div>
    <w:div w:id="893466535">
      <w:bodyDiv w:val="1"/>
      <w:marLeft w:val="0"/>
      <w:marRight w:val="0"/>
      <w:marTop w:val="0"/>
      <w:marBottom w:val="0"/>
      <w:divBdr>
        <w:top w:val="none" w:sz="0" w:space="0" w:color="auto"/>
        <w:left w:val="none" w:sz="0" w:space="0" w:color="auto"/>
        <w:bottom w:val="none" w:sz="0" w:space="0" w:color="auto"/>
        <w:right w:val="none" w:sz="0" w:space="0" w:color="auto"/>
      </w:divBdr>
    </w:div>
    <w:div w:id="931351083">
      <w:bodyDiv w:val="1"/>
      <w:marLeft w:val="0"/>
      <w:marRight w:val="0"/>
      <w:marTop w:val="0"/>
      <w:marBottom w:val="0"/>
      <w:divBdr>
        <w:top w:val="none" w:sz="0" w:space="0" w:color="auto"/>
        <w:left w:val="none" w:sz="0" w:space="0" w:color="auto"/>
        <w:bottom w:val="none" w:sz="0" w:space="0" w:color="auto"/>
        <w:right w:val="none" w:sz="0" w:space="0" w:color="auto"/>
      </w:divBdr>
    </w:div>
    <w:div w:id="965895820">
      <w:bodyDiv w:val="1"/>
      <w:marLeft w:val="0"/>
      <w:marRight w:val="0"/>
      <w:marTop w:val="0"/>
      <w:marBottom w:val="0"/>
      <w:divBdr>
        <w:top w:val="none" w:sz="0" w:space="0" w:color="auto"/>
        <w:left w:val="none" w:sz="0" w:space="0" w:color="auto"/>
        <w:bottom w:val="none" w:sz="0" w:space="0" w:color="auto"/>
        <w:right w:val="none" w:sz="0" w:space="0" w:color="auto"/>
      </w:divBdr>
    </w:div>
    <w:div w:id="976882639">
      <w:bodyDiv w:val="1"/>
      <w:marLeft w:val="0"/>
      <w:marRight w:val="0"/>
      <w:marTop w:val="0"/>
      <w:marBottom w:val="0"/>
      <w:divBdr>
        <w:top w:val="none" w:sz="0" w:space="0" w:color="auto"/>
        <w:left w:val="none" w:sz="0" w:space="0" w:color="auto"/>
        <w:bottom w:val="none" w:sz="0" w:space="0" w:color="auto"/>
        <w:right w:val="none" w:sz="0" w:space="0" w:color="auto"/>
      </w:divBdr>
      <w:divsChild>
        <w:div w:id="1239361237">
          <w:marLeft w:val="0"/>
          <w:marRight w:val="0"/>
          <w:marTop w:val="0"/>
          <w:marBottom w:val="0"/>
          <w:divBdr>
            <w:top w:val="none" w:sz="0" w:space="0" w:color="auto"/>
            <w:left w:val="none" w:sz="0" w:space="0" w:color="auto"/>
            <w:bottom w:val="none" w:sz="0" w:space="0" w:color="auto"/>
            <w:right w:val="none" w:sz="0" w:space="0" w:color="auto"/>
          </w:divBdr>
          <w:divsChild>
            <w:div w:id="1770269611">
              <w:marLeft w:val="0"/>
              <w:marRight w:val="0"/>
              <w:marTop w:val="0"/>
              <w:marBottom w:val="0"/>
              <w:divBdr>
                <w:top w:val="none" w:sz="0" w:space="0" w:color="auto"/>
                <w:left w:val="none" w:sz="0" w:space="0" w:color="auto"/>
                <w:bottom w:val="none" w:sz="0" w:space="0" w:color="auto"/>
                <w:right w:val="none" w:sz="0" w:space="0" w:color="auto"/>
              </w:divBdr>
              <w:divsChild>
                <w:div w:id="2071266010">
                  <w:marLeft w:val="0"/>
                  <w:marRight w:val="0"/>
                  <w:marTop w:val="0"/>
                  <w:marBottom w:val="0"/>
                  <w:divBdr>
                    <w:top w:val="none" w:sz="0" w:space="0" w:color="auto"/>
                    <w:left w:val="none" w:sz="0" w:space="0" w:color="auto"/>
                    <w:bottom w:val="none" w:sz="0" w:space="0" w:color="auto"/>
                    <w:right w:val="none" w:sz="0" w:space="0" w:color="auto"/>
                  </w:divBdr>
                  <w:divsChild>
                    <w:div w:id="7896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09226">
      <w:bodyDiv w:val="1"/>
      <w:marLeft w:val="0"/>
      <w:marRight w:val="0"/>
      <w:marTop w:val="0"/>
      <w:marBottom w:val="0"/>
      <w:divBdr>
        <w:top w:val="none" w:sz="0" w:space="0" w:color="auto"/>
        <w:left w:val="none" w:sz="0" w:space="0" w:color="auto"/>
        <w:bottom w:val="none" w:sz="0" w:space="0" w:color="auto"/>
        <w:right w:val="none" w:sz="0" w:space="0" w:color="auto"/>
      </w:divBdr>
    </w:div>
    <w:div w:id="1024939390">
      <w:bodyDiv w:val="1"/>
      <w:marLeft w:val="0"/>
      <w:marRight w:val="0"/>
      <w:marTop w:val="0"/>
      <w:marBottom w:val="0"/>
      <w:divBdr>
        <w:top w:val="none" w:sz="0" w:space="0" w:color="auto"/>
        <w:left w:val="none" w:sz="0" w:space="0" w:color="auto"/>
        <w:bottom w:val="none" w:sz="0" w:space="0" w:color="auto"/>
        <w:right w:val="none" w:sz="0" w:space="0" w:color="auto"/>
      </w:divBdr>
    </w:div>
    <w:div w:id="1032078129">
      <w:bodyDiv w:val="1"/>
      <w:marLeft w:val="0"/>
      <w:marRight w:val="0"/>
      <w:marTop w:val="0"/>
      <w:marBottom w:val="0"/>
      <w:divBdr>
        <w:top w:val="none" w:sz="0" w:space="0" w:color="auto"/>
        <w:left w:val="none" w:sz="0" w:space="0" w:color="auto"/>
        <w:bottom w:val="none" w:sz="0" w:space="0" w:color="auto"/>
        <w:right w:val="none" w:sz="0" w:space="0" w:color="auto"/>
      </w:divBdr>
    </w:div>
    <w:div w:id="1088117709">
      <w:bodyDiv w:val="1"/>
      <w:marLeft w:val="0"/>
      <w:marRight w:val="0"/>
      <w:marTop w:val="0"/>
      <w:marBottom w:val="0"/>
      <w:divBdr>
        <w:top w:val="none" w:sz="0" w:space="0" w:color="auto"/>
        <w:left w:val="none" w:sz="0" w:space="0" w:color="auto"/>
        <w:bottom w:val="none" w:sz="0" w:space="0" w:color="auto"/>
        <w:right w:val="none" w:sz="0" w:space="0" w:color="auto"/>
      </w:divBdr>
    </w:div>
    <w:div w:id="1092820365">
      <w:bodyDiv w:val="1"/>
      <w:marLeft w:val="0"/>
      <w:marRight w:val="0"/>
      <w:marTop w:val="0"/>
      <w:marBottom w:val="0"/>
      <w:divBdr>
        <w:top w:val="none" w:sz="0" w:space="0" w:color="auto"/>
        <w:left w:val="none" w:sz="0" w:space="0" w:color="auto"/>
        <w:bottom w:val="none" w:sz="0" w:space="0" w:color="auto"/>
        <w:right w:val="none" w:sz="0" w:space="0" w:color="auto"/>
      </w:divBdr>
    </w:div>
    <w:div w:id="1115447670">
      <w:bodyDiv w:val="1"/>
      <w:marLeft w:val="0"/>
      <w:marRight w:val="0"/>
      <w:marTop w:val="0"/>
      <w:marBottom w:val="0"/>
      <w:divBdr>
        <w:top w:val="none" w:sz="0" w:space="0" w:color="auto"/>
        <w:left w:val="none" w:sz="0" w:space="0" w:color="auto"/>
        <w:bottom w:val="none" w:sz="0" w:space="0" w:color="auto"/>
        <w:right w:val="none" w:sz="0" w:space="0" w:color="auto"/>
      </w:divBdr>
      <w:divsChild>
        <w:div w:id="1329554924">
          <w:marLeft w:val="0"/>
          <w:marRight w:val="0"/>
          <w:marTop w:val="0"/>
          <w:marBottom w:val="0"/>
          <w:divBdr>
            <w:top w:val="none" w:sz="0" w:space="0" w:color="auto"/>
            <w:left w:val="none" w:sz="0" w:space="0" w:color="auto"/>
            <w:bottom w:val="none" w:sz="0" w:space="0" w:color="auto"/>
            <w:right w:val="none" w:sz="0" w:space="0" w:color="auto"/>
          </w:divBdr>
          <w:divsChild>
            <w:div w:id="598411387">
              <w:marLeft w:val="0"/>
              <w:marRight w:val="0"/>
              <w:marTop w:val="0"/>
              <w:marBottom w:val="0"/>
              <w:divBdr>
                <w:top w:val="none" w:sz="0" w:space="0" w:color="auto"/>
                <w:left w:val="none" w:sz="0" w:space="0" w:color="auto"/>
                <w:bottom w:val="none" w:sz="0" w:space="0" w:color="auto"/>
                <w:right w:val="none" w:sz="0" w:space="0" w:color="auto"/>
              </w:divBdr>
              <w:divsChild>
                <w:div w:id="1223449414">
                  <w:marLeft w:val="0"/>
                  <w:marRight w:val="0"/>
                  <w:marTop w:val="0"/>
                  <w:marBottom w:val="0"/>
                  <w:divBdr>
                    <w:top w:val="none" w:sz="0" w:space="0" w:color="auto"/>
                    <w:left w:val="none" w:sz="0" w:space="0" w:color="auto"/>
                    <w:bottom w:val="none" w:sz="0" w:space="0" w:color="auto"/>
                    <w:right w:val="none" w:sz="0" w:space="0" w:color="auto"/>
                  </w:divBdr>
                </w:div>
              </w:divsChild>
            </w:div>
            <w:div w:id="2144955409">
              <w:marLeft w:val="0"/>
              <w:marRight w:val="0"/>
              <w:marTop w:val="0"/>
              <w:marBottom w:val="0"/>
              <w:divBdr>
                <w:top w:val="none" w:sz="0" w:space="0" w:color="auto"/>
                <w:left w:val="none" w:sz="0" w:space="0" w:color="auto"/>
                <w:bottom w:val="none" w:sz="0" w:space="0" w:color="auto"/>
                <w:right w:val="none" w:sz="0" w:space="0" w:color="auto"/>
              </w:divBdr>
              <w:divsChild>
                <w:div w:id="1541670703">
                  <w:marLeft w:val="0"/>
                  <w:marRight w:val="0"/>
                  <w:marTop w:val="0"/>
                  <w:marBottom w:val="0"/>
                  <w:divBdr>
                    <w:top w:val="none" w:sz="0" w:space="0" w:color="auto"/>
                    <w:left w:val="none" w:sz="0" w:space="0" w:color="auto"/>
                    <w:bottom w:val="none" w:sz="0" w:space="0" w:color="auto"/>
                    <w:right w:val="none" w:sz="0" w:space="0" w:color="auto"/>
                  </w:divBdr>
                </w:div>
                <w:div w:id="254942063">
                  <w:marLeft w:val="0"/>
                  <w:marRight w:val="0"/>
                  <w:marTop w:val="0"/>
                  <w:marBottom w:val="0"/>
                  <w:divBdr>
                    <w:top w:val="none" w:sz="0" w:space="0" w:color="auto"/>
                    <w:left w:val="none" w:sz="0" w:space="0" w:color="auto"/>
                    <w:bottom w:val="none" w:sz="0" w:space="0" w:color="auto"/>
                    <w:right w:val="none" w:sz="0" w:space="0" w:color="auto"/>
                  </w:divBdr>
                </w:div>
              </w:divsChild>
            </w:div>
            <w:div w:id="1385907720">
              <w:marLeft w:val="0"/>
              <w:marRight w:val="0"/>
              <w:marTop w:val="0"/>
              <w:marBottom w:val="0"/>
              <w:divBdr>
                <w:top w:val="none" w:sz="0" w:space="0" w:color="auto"/>
                <w:left w:val="none" w:sz="0" w:space="0" w:color="auto"/>
                <w:bottom w:val="none" w:sz="0" w:space="0" w:color="auto"/>
                <w:right w:val="none" w:sz="0" w:space="0" w:color="auto"/>
              </w:divBdr>
              <w:divsChild>
                <w:div w:id="20037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463103">
      <w:bodyDiv w:val="1"/>
      <w:marLeft w:val="0"/>
      <w:marRight w:val="0"/>
      <w:marTop w:val="0"/>
      <w:marBottom w:val="0"/>
      <w:divBdr>
        <w:top w:val="none" w:sz="0" w:space="0" w:color="auto"/>
        <w:left w:val="none" w:sz="0" w:space="0" w:color="auto"/>
        <w:bottom w:val="none" w:sz="0" w:space="0" w:color="auto"/>
        <w:right w:val="none" w:sz="0" w:space="0" w:color="auto"/>
      </w:divBdr>
    </w:div>
    <w:div w:id="1168638953">
      <w:bodyDiv w:val="1"/>
      <w:marLeft w:val="0"/>
      <w:marRight w:val="0"/>
      <w:marTop w:val="0"/>
      <w:marBottom w:val="0"/>
      <w:divBdr>
        <w:top w:val="none" w:sz="0" w:space="0" w:color="auto"/>
        <w:left w:val="none" w:sz="0" w:space="0" w:color="auto"/>
        <w:bottom w:val="none" w:sz="0" w:space="0" w:color="auto"/>
        <w:right w:val="none" w:sz="0" w:space="0" w:color="auto"/>
      </w:divBdr>
    </w:div>
    <w:div w:id="1219513255">
      <w:bodyDiv w:val="1"/>
      <w:marLeft w:val="0"/>
      <w:marRight w:val="0"/>
      <w:marTop w:val="0"/>
      <w:marBottom w:val="0"/>
      <w:divBdr>
        <w:top w:val="none" w:sz="0" w:space="0" w:color="auto"/>
        <w:left w:val="none" w:sz="0" w:space="0" w:color="auto"/>
        <w:bottom w:val="none" w:sz="0" w:space="0" w:color="auto"/>
        <w:right w:val="none" w:sz="0" w:space="0" w:color="auto"/>
      </w:divBdr>
      <w:divsChild>
        <w:div w:id="894467753">
          <w:marLeft w:val="0"/>
          <w:marRight w:val="0"/>
          <w:marTop w:val="0"/>
          <w:marBottom w:val="0"/>
          <w:divBdr>
            <w:top w:val="none" w:sz="0" w:space="0" w:color="auto"/>
            <w:left w:val="none" w:sz="0" w:space="0" w:color="auto"/>
            <w:bottom w:val="none" w:sz="0" w:space="0" w:color="auto"/>
            <w:right w:val="none" w:sz="0" w:space="0" w:color="auto"/>
          </w:divBdr>
          <w:divsChild>
            <w:div w:id="2096315918">
              <w:marLeft w:val="0"/>
              <w:marRight w:val="0"/>
              <w:marTop w:val="0"/>
              <w:marBottom w:val="0"/>
              <w:divBdr>
                <w:top w:val="none" w:sz="0" w:space="0" w:color="auto"/>
                <w:left w:val="none" w:sz="0" w:space="0" w:color="auto"/>
                <w:bottom w:val="none" w:sz="0" w:space="0" w:color="auto"/>
                <w:right w:val="none" w:sz="0" w:space="0" w:color="auto"/>
              </w:divBdr>
              <w:divsChild>
                <w:div w:id="16171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07078">
      <w:bodyDiv w:val="1"/>
      <w:marLeft w:val="0"/>
      <w:marRight w:val="0"/>
      <w:marTop w:val="0"/>
      <w:marBottom w:val="0"/>
      <w:divBdr>
        <w:top w:val="none" w:sz="0" w:space="0" w:color="auto"/>
        <w:left w:val="none" w:sz="0" w:space="0" w:color="auto"/>
        <w:bottom w:val="none" w:sz="0" w:space="0" w:color="auto"/>
        <w:right w:val="none" w:sz="0" w:space="0" w:color="auto"/>
      </w:divBdr>
    </w:div>
    <w:div w:id="1359308013">
      <w:bodyDiv w:val="1"/>
      <w:marLeft w:val="0"/>
      <w:marRight w:val="0"/>
      <w:marTop w:val="0"/>
      <w:marBottom w:val="0"/>
      <w:divBdr>
        <w:top w:val="none" w:sz="0" w:space="0" w:color="auto"/>
        <w:left w:val="none" w:sz="0" w:space="0" w:color="auto"/>
        <w:bottom w:val="none" w:sz="0" w:space="0" w:color="auto"/>
        <w:right w:val="none" w:sz="0" w:space="0" w:color="auto"/>
      </w:divBdr>
    </w:div>
    <w:div w:id="1424454285">
      <w:bodyDiv w:val="1"/>
      <w:marLeft w:val="0"/>
      <w:marRight w:val="0"/>
      <w:marTop w:val="0"/>
      <w:marBottom w:val="0"/>
      <w:divBdr>
        <w:top w:val="none" w:sz="0" w:space="0" w:color="auto"/>
        <w:left w:val="none" w:sz="0" w:space="0" w:color="auto"/>
        <w:bottom w:val="none" w:sz="0" w:space="0" w:color="auto"/>
        <w:right w:val="none" w:sz="0" w:space="0" w:color="auto"/>
      </w:divBdr>
    </w:div>
    <w:div w:id="1527713405">
      <w:bodyDiv w:val="1"/>
      <w:marLeft w:val="0"/>
      <w:marRight w:val="0"/>
      <w:marTop w:val="0"/>
      <w:marBottom w:val="0"/>
      <w:divBdr>
        <w:top w:val="none" w:sz="0" w:space="0" w:color="auto"/>
        <w:left w:val="none" w:sz="0" w:space="0" w:color="auto"/>
        <w:bottom w:val="none" w:sz="0" w:space="0" w:color="auto"/>
        <w:right w:val="none" w:sz="0" w:space="0" w:color="auto"/>
      </w:divBdr>
    </w:div>
    <w:div w:id="1581675100">
      <w:bodyDiv w:val="1"/>
      <w:marLeft w:val="0"/>
      <w:marRight w:val="0"/>
      <w:marTop w:val="0"/>
      <w:marBottom w:val="0"/>
      <w:divBdr>
        <w:top w:val="none" w:sz="0" w:space="0" w:color="auto"/>
        <w:left w:val="none" w:sz="0" w:space="0" w:color="auto"/>
        <w:bottom w:val="none" w:sz="0" w:space="0" w:color="auto"/>
        <w:right w:val="none" w:sz="0" w:space="0" w:color="auto"/>
      </w:divBdr>
    </w:div>
    <w:div w:id="1641769331">
      <w:bodyDiv w:val="1"/>
      <w:marLeft w:val="0"/>
      <w:marRight w:val="0"/>
      <w:marTop w:val="0"/>
      <w:marBottom w:val="0"/>
      <w:divBdr>
        <w:top w:val="none" w:sz="0" w:space="0" w:color="auto"/>
        <w:left w:val="none" w:sz="0" w:space="0" w:color="auto"/>
        <w:bottom w:val="none" w:sz="0" w:space="0" w:color="auto"/>
        <w:right w:val="none" w:sz="0" w:space="0" w:color="auto"/>
      </w:divBdr>
    </w:div>
    <w:div w:id="1652362890">
      <w:bodyDiv w:val="1"/>
      <w:marLeft w:val="0"/>
      <w:marRight w:val="0"/>
      <w:marTop w:val="0"/>
      <w:marBottom w:val="0"/>
      <w:divBdr>
        <w:top w:val="none" w:sz="0" w:space="0" w:color="auto"/>
        <w:left w:val="none" w:sz="0" w:space="0" w:color="auto"/>
        <w:bottom w:val="none" w:sz="0" w:space="0" w:color="auto"/>
        <w:right w:val="none" w:sz="0" w:space="0" w:color="auto"/>
      </w:divBdr>
    </w:div>
    <w:div w:id="1667630234">
      <w:bodyDiv w:val="1"/>
      <w:marLeft w:val="0"/>
      <w:marRight w:val="0"/>
      <w:marTop w:val="0"/>
      <w:marBottom w:val="0"/>
      <w:divBdr>
        <w:top w:val="none" w:sz="0" w:space="0" w:color="auto"/>
        <w:left w:val="none" w:sz="0" w:space="0" w:color="auto"/>
        <w:bottom w:val="none" w:sz="0" w:space="0" w:color="auto"/>
        <w:right w:val="none" w:sz="0" w:space="0" w:color="auto"/>
      </w:divBdr>
    </w:div>
    <w:div w:id="1684283005">
      <w:bodyDiv w:val="1"/>
      <w:marLeft w:val="0"/>
      <w:marRight w:val="0"/>
      <w:marTop w:val="0"/>
      <w:marBottom w:val="0"/>
      <w:divBdr>
        <w:top w:val="none" w:sz="0" w:space="0" w:color="auto"/>
        <w:left w:val="none" w:sz="0" w:space="0" w:color="auto"/>
        <w:bottom w:val="none" w:sz="0" w:space="0" w:color="auto"/>
        <w:right w:val="none" w:sz="0" w:space="0" w:color="auto"/>
      </w:divBdr>
      <w:divsChild>
        <w:div w:id="1146701201">
          <w:marLeft w:val="0"/>
          <w:marRight w:val="0"/>
          <w:marTop w:val="0"/>
          <w:marBottom w:val="0"/>
          <w:divBdr>
            <w:top w:val="none" w:sz="0" w:space="0" w:color="auto"/>
            <w:left w:val="none" w:sz="0" w:space="0" w:color="auto"/>
            <w:bottom w:val="none" w:sz="0" w:space="0" w:color="auto"/>
            <w:right w:val="none" w:sz="0" w:space="0" w:color="auto"/>
          </w:divBdr>
          <w:divsChild>
            <w:div w:id="1012073157">
              <w:marLeft w:val="0"/>
              <w:marRight w:val="0"/>
              <w:marTop w:val="0"/>
              <w:marBottom w:val="0"/>
              <w:divBdr>
                <w:top w:val="none" w:sz="0" w:space="0" w:color="auto"/>
                <w:left w:val="none" w:sz="0" w:space="0" w:color="auto"/>
                <w:bottom w:val="none" w:sz="0" w:space="0" w:color="auto"/>
                <w:right w:val="none" w:sz="0" w:space="0" w:color="auto"/>
              </w:divBdr>
              <w:divsChild>
                <w:div w:id="13859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40865">
      <w:bodyDiv w:val="1"/>
      <w:marLeft w:val="0"/>
      <w:marRight w:val="0"/>
      <w:marTop w:val="0"/>
      <w:marBottom w:val="0"/>
      <w:divBdr>
        <w:top w:val="none" w:sz="0" w:space="0" w:color="auto"/>
        <w:left w:val="none" w:sz="0" w:space="0" w:color="auto"/>
        <w:bottom w:val="none" w:sz="0" w:space="0" w:color="auto"/>
        <w:right w:val="none" w:sz="0" w:space="0" w:color="auto"/>
      </w:divBdr>
      <w:divsChild>
        <w:div w:id="330332344">
          <w:marLeft w:val="0"/>
          <w:marRight w:val="0"/>
          <w:marTop w:val="0"/>
          <w:marBottom w:val="0"/>
          <w:divBdr>
            <w:top w:val="none" w:sz="0" w:space="0" w:color="auto"/>
            <w:left w:val="none" w:sz="0" w:space="0" w:color="auto"/>
            <w:bottom w:val="none" w:sz="0" w:space="0" w:color="auto"/>
            <w:right w:val="none" w:sz="0" w:space="0" w:color="auto"/>
          </w:divBdr>
          <w:divsChild>
            <w:div w:id="1549221950">
              <w:marLeft w:val="0"/>
              <w:marRight w:val="0"/>
              <w:marTop w:val="0"/>
              <w:marBottom w:val="0"/>
              <w:divBdr>
                <w:top w:val="none" w:sz="0" w:space="0" w:color="auto"/>
                <w:left w:val="none" w:sz="0" w:space="0" w:color="auto"/>
                <w:bottom w:val="none" w:sz="0" w:space="0" w:color="auto"/>
                <w:right w:val="none" w:sz="0" w:space="0" w:color="auto"/>
              </w:divBdr>
              <w:divsChild>
                <w:div w:id="3595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03952">
      <w:bodyDiv w:val="1"/>
      <w:marLeft w:val="0"/>
      <w:marRight w:val="0"/>
      <w:marTop w:val="0"/>
      <w:marBottom w:val="0"/>
      <w:divBdr>
        <w:top w:val="none" w:sz="0" w:space="0" w:color="auto"/>
        <w:left w:val="none" w:sz="0" w:space="0" w:color="auto"/>
        <w:bottom w:val="none" w:sz="0" w:space="0" w:color="auto"/>
        <w:right w:val="none" w:sz="0" w:space="0" w:color="auto"/>
      </w:divBdr>
    </w:div>
    <w:div w:id="1717392271">
      <w:bodyDiv w:val="1"/>
      <w:marLeft w:val="0"/>
      <w:marRight w:val="0"/>
      <w:marTop w:val="0"/>
      <w:marBottom w:val="0"/>
      <w:divBdr>
        <w:top w:val="none" w:sz="0" w:space="0" w:color="auto"/>
        <w:left w:val="none" w:sz="0" w:space="0" w:color="auto"/>
        <w:bottom w:val="none" w:sz="0" w:space="0" w:color="auto"/>
        <w:right w:val="none" w:sz="0" w:space="0" w:color="auto"/>
      </w:divBdr>
    </w:div>
    <w:div w:id="1735200482">
      <w:bodyDiv w:val="1"/>
      <w:marLeft w:val="0"/>
      <w:marRight w:val="0"/>
      <w:marTop w:val="0"/>
      <w:marBottom w:val="0"/>
      <w:divBdr>
        <w:top w:val="none" w:sz="0" w:space="0" w:color="auto"/>
        <w:left w:val="none" w:sz="0" w:space="0" w:color="auto"/>
        <w:bottom w:val="none" w:sz="0" w:space="0" w:color="auto"/>
        <w:right w:val="none" w:sz="0" w:space="0" w:color="auto"/>
      </w:divBdr>
    </w:div>
    <w:div w:id="1735814139">
      <w:bodyDiv w:val="1"/>
      <w:marLeft w:val="0"/>
      <w:marRight w:val="0"/>
      <w:marTop w:val="0"/>
      <w:marBottom w:val="0"/>
      <w:divBdr>
        <w:top w:val="none" w:sz="0" w:space="0" w:color="auto"/>
        <w:left w:val="none" w:sz="0" w:space="0" w:color="auto"/>
        <w:bottom w:val="none" w:sz="0" w:space="0" w:color="auto"/>
        <w:right w:val="none" w:sz="0" w:space="0" w:color="auto"/>
      </w:divBdr>
      <w:divsChild>
        <w:div w:id="1182015706">
          <w:marLeft w:val="0"/>
          <w:marRight w:val="0"/>
          <w:marTop w:val="0"/>
          <w:marBottom w:val="0"/>
          <w:divBdr>
            <w:top w:val="none" w:sz="0" w:space="0" w:color="auto"/>
            <w:left w:val="none" w:sz="0" w:space="0" w:color="auto"/>
            <w:bottom w:val="none" w:sz="0" w:space="0" w:color="auto"/>
            <w:right w:val="none" w:sz="0" w:space="0" w:color="auto"/>
          </w:divBdr>
          <w:divsChild>
            <w:div w:id="1196384471">
              <w:marLeft w:val="0"/>
              <w:marRight w:val="0"/>
              <w:marTop w:val="0"/>
              <w:marBottom w:val="0"/>
              <w:divBdr>
                <w:top w:val="none" w:sz="0" w:space="0" w:color="auto"/>
                <w:left w:val="none" w:sz="0" w:space="0" w:color="auto"/>
                <w:bottom w:val="none" w:sz="0" w:space="0" w:color="auto"/>
                <w:right w:val="none" w:sz="0" w:space="0" w:color="auto"/>
              </w:divBdr>
              <w:divsChild>
                <w:div w:id="10419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1034">
      <w:bodyDiv w:val="1"/>
      <w:marLeft w:val="0"/>
      <w:marRight w:val="0"/>
      <w:marTop w:val="0"/>
      <w:marBottom w:val="0"/>
      <w:divBdr>
        <w:top w:val="none" w:sz="0" w:space="0" w:color="auto"/>
        <w:left w:val="none" w:sz="0" w:space="0" w:color="auto"/>
        <w:bottom w:val="none" w:sz="0" w:space="0" w:color="auto"/>
        <w:right w:val="none" w:sz="0" w:space="0" w:color="auto"/>
      </w:divBdr>
    </w:div>
    <w:div w:id="1779131808">
      <w:bodyDiv w:val="1"/>
      <w:marLeft w:val="0"/>
      <w:marRight w:val="0"/>
      <w:marTop w:val="0"/>
      <w:marBottom w:val="0"/>
      <w:divBdr>
        <w:top w:val="none" w:sz="0" w:space="0" w:color="auto"/>
        <w:left w:val="none" w:sz="0" w:space="0" w:color="auto"/>
        <w:bottom w:val="none" w:sz="0" w:space="0" w:color="auto"/>
        <w:right w:val="none" w:sz="0" w:space="0" w:color="auto"/>
      </w:divBdr>
      <w:divsChild>
        <w:div w:id="663507222">
          <w:marLeft w:val="0"/>
          <w:marRight w:val="0"/>
          <w:marTop w:val="0"/>
          <w:marBottom w:val="0"/>
          <w:divBdr>
            <w:top w:val="none" w:sz="0" w:space="0" w:color="auto"/>
            <w:left w:val="none" w:sz="0" w:space="0" w:color="auto"/>
            <w:bottom w:val="none" w:sz="0" w:space="0" w:color="auto"/>
            <w:right w:val="none" w:sz="0" w:space="0" w:color="auto"/>
          </w:divBdr>
          <w:divsChild>
            <w:div w:id="1679693131">
              <w:marLeft w:val="0"/>
              <w:marRight w:val="0"/>
              <w:marTop w:val="0"/>
              <w:marBottom w:val="0"/>
              <w:divBdr>
                <w:top w:val="none" w:sz="0" w:space="0" w:color="auto"/>
                <w:left w:val="none" w:sz="0" w:space="0" w:color="auto"/>
                <w:bottom w:val="none" w:sz="0" w:space="0" w:color="auto"/>
                <w:right w:val="none" w:sz="0" w:space="0" w:color="auto"/>
              </w:divBdr>
              <w:divsChild>
                <w:div w:id="628127716">
                  <w:marLeft w:val="0"/>
                  <w:marRight w:val="0"/>
                  <w:marTop w:val="0"/>
                  <w:marBottom w:val="0"/>
                  <w:divBdr>
                    <w:top w:val="none" w:sz="0" w:space="0" w:color="auto"/>
                    <w:left w:val="none" w:sz="0" w:space="0" w:color="auto"/>
                    <w:bottom w:val="none" w:sz="0" w:space="0" w:color="auto"/>
                    <w:right w:val="none" w:sz="0" w:space="0" w:color="auto"/>
                  </w:divBdr>
                </w:div>
                <w:div w:id="205218172">
                  <w:marLeft w:val="0"/>
                  <w:marRight w:val="0"/>
                  <w:marTop w:val="0"/>
                  <w:marBottom w:val="0"/>
                  <w:divBdr>
                    <w:top w:val="none" w:sz="0" w:space="0" w:color="auto"/>
                    <w:left w:val="none" w:sz="0" w:space="0" w:color="auto"/>
                    <w:bottom w:val="none" w:sz="0" w:space="0" w:color="auto"/>
                    <w:right w:val="none" w:sz="0" w:space="0" w:color="auto"/>
                  </w:divBdr>
                </w:div>
              </w:divsChild>
            </w:div>
            <w:div w:id="1586650103">
              <w:marLeft w:val="0"/>
              <w:marRight w:val="0"/>
              <w:marTop w:val="0"/>
              <w:marBottom w:val="0"/>
              <w:divBdr>
                <w:top w:val="none" w:sz="0" w:space="0" w:color="auto"/>
                <w:left w:val="none" w:sz="0" w:space="0" w:color="auto"/>
                <w:bottom w:val="none" w:sz="0" w:space="0" w:color="auto"/>
                <w:right w:val="none" w:sz="0" w:space="0" w:color="auto"/>
              </w:divBdr>
              <w:divsChild>
                <w:div w:id="189400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8264">
      <w:bodyDiv w:val="1"/>
      <w:marLeft w:val="0"/>
      <w:marRight w:val="0"/>
      <w:marTop w:val="0"/>
      <w:marBottom w:val="0"/>
      <w:divBdr>
        <w:top w:val="none" w:sz="0" w:space="0" w:color="auto"/>
        <w:left w:val="none" w:sz="0" w:space="0" w:color="auto"/>
        <w:bottom w:val="none" w:sz="0" w:space="0" w:color="auto"/>
        <w:right w:val="none" w:sz="0" w:space="0" w:color="auto"/>
      </w:divBdr>
      <w:divsChild>
        <w:div w:id="1571960518">
          <w:marLeft w:val="0"/>
          <w:marRight w:val="0"/>
          <w:marTop w:val="0"/>
          <w:marBottom w:val="0"/>
          <w:divBdr>
            <w:top w:val="none" w:sz="0" w:space="0" w:color="auto"/>
            <w:left w:val="none" w:sz="0" w:space="0" w:color="auto"/>
            <w:bottom w:val="none" w:sz="0" w:space="0" w:color="auto"/>
            <w:right w:val="none" w:sz="0" w:space="0" w:color="auto"/>
          </w:divBdr>
          <w:divsChild>
            <w:div w:id="1756704113">
              <w:marLeft w:val="0"/>
              <w:marRight w:val="0"/>
              <w:marTop w:val="0"/>
              <w:marBottom w:val="0"/>
              <w:divBdr>
                <w:top w:val="none" w:sz="0" w:space="0" w:color="auto"/>
                <w:left w:val="none" w:sz="0" w:space="0" w:color="auto"/>
                <w:bottom w:val="none" w:sz="0" w:space="0" w:color="auto"/>
                <w:right w:val="none" w:sz="0" w:space="0" w:color="auto"/>
              </w:divBdr>
              <w:divsChild>
                <w:div w:id="8968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272343">
      <w:bodyDiv w:val="1"/>
      <w:marLeft w:val="0"/>
      <w:marRight w:val="0"/>
      <w:marTop w:val="0"/>
      <w:marBottom w:val="0"/>
      <w:divBdr>
        <w:top w:val="none" w:sz="0" w:space="0" w:color="auto"/>
        <w:left w:val="none" w:sz="0" w:space="0" w:color="auto"/>
        <w:bottom w:val="none" w:sz="0" w:space="0" w:color="auto"/>
        <w:right w:val="none" w:sz="0" w:space="0" w:color="auto"/>
      </w:divBdr>
    </w:div>
    <w:div w:id="1995135077">
      <w:bodyDiv w:val="1"/>
      <w:marLeft w:val="0"/>
      <w:marRight w:val="0"/>
      <w:marTop w:val="0"/>
      <w:marBottom w:val="0"/>
      <w:divBdr>
        <w:top w:val="none" w:sz="0" w:space="0" w:color="auto"/>
        <w:left w:val="none" w:sz="0" w:space="0" w:color="auto"/>
        <w:bottom w:val="none" w:sz="0" w:space="0" w:color="auto"/>
        <w:right w:val="none" w:sz="0" w:space="0" w:color="auto"/>
      </w:divBdr>
    </w:div>
    <w:div w:id="2006399195">
      <w:bodyDiv w:val="1"/>
      <w:marLeft w:val="0"/>
      <w:marRight w:val="0"/>
      <w:marTop w:val="0"/>
      <w:marBottom w:val="0"/>
      <w:divBdr>
        <w:top w:val="none" w:sz="0" w:space="0" w:color="auto"/>
        <w:left w:val="none" w:sz="0" w:space="0" w:color="auto"/>
        <w:bottom w:val="none" w:sz="0" w:space="0" w:color="auto"/>
        <w:right w:val="none" w:sz="0" w:space="0" w:color="auto"/>
      </w:divBdr>
    </w:div>
    <w:div w:id="2010016521">
      <w:bodyDiv w:val="1"/>
      <w:marLeft w:val="0"/>
      <w:marRight w:val="0"/>
      <w:marTop w:val="0"/>
      <w:marBottom w:val="0"/>
      <w:divBdr>
        <w:top w:val="none" w:sz="0" w:space="0" w:color="auto"/>
        <w:left w:val="none" w:sz="0" w:space="0" w:color="auto"/>
        <w:bottom w:val="none" w:sz="0" w:space="0" w:color="auto"/>
        <w:right w:val="none" w:sz="0" w:space="0" w:color="auto"/>
      </w:divBdr>
    </w:div>
    <w:div w:id="2061512747">
      <w:bodyDiv w:val="1"/>
      <w:marLeft w:val="0"/>
      <w:marRight w:val="0"/>
      <w:marTop w:val="0"/>
      <w:marBottom w:val="0"/>
      <w:divBdr>
        <w:top w:val="none" w:sz="0" w:space="0" w:color="auto"/>
        <w:left w:val="none" w:sz="0" w:space="0" w:color="auto"/>
        <w:bottom w:val="none" w:sz="0" w:space="0" w:color="auto"/>
        <w:right w:val="none" w:sz="0" w:space="0" w:color="auto"/>
      </w:divBdr>
    </w:div>
    <w:div w:id="2099250587">
      <w:bodyDiv w:val="1"/>
      <w:marLeft w:val="0"/>
      <w:marRight w:val="0"/>
      <w:marTop w:val="0"/>
      <w:marBottom w:val="0"/>
      <w:divBdr>
        <w:top w:val="none" w:sz="0" w:space="0" w:color="auto"/>
        <w:left w:val="none" w:sz="0" w:space="0" w:color="auto"/>
        <w:bottom w:val="none" w:sz="0" w:space="0" w:color="auto"/>
        <w:right w:val="none" w:sz="0" w:space="0" w:color="auto"/>
      </w:divBdr>
      <w:divsChild>
        <w:div w:id="1530486300">
          <w:marLeft w:val="0"/>
          <w:marRight w:val="0"/>
          <w:marTop w:val="0"/>
          <w:marBottom w:val="0"/>
          <w:divBdr>
            <w:top w:val="none" w:sz="0" w:space="0" w:color="auto"/>
            <w:left w:val="none" w:sz="0" w:space="0" w:color="auto"/>
            <w:bottom w:val="none" w:sz="0" w:space="0" w:color="auto"/>
            <w:right w:val="none" w:sz="0" w:space="0" w:color="auto"/>
          </w:divBdr>
          <w:divsChild>
            <w:div w:id="639189302">
              <w:marLeft w:val="0"/>
              <w:marRight w:val="0"/>
              <w:marTop w:val="0"/>
              <w:marBottom w:val="0"/>
              <w:divBdr>
                <w:top w:val="none" w:sz="0" w:space="0" w:color="auto"/>
                <w:left w:val="none" w:sz="0" w:space="0" w:color="auto"/>
                <w:bottom w:val="none" w:sz="0" w:space="0" w:color="auto"/>
                <w:right w:val="none" w:sz="0" w:space="0" w:color="auto"/>
              </w:divBdr>
              <w:divsChild>
                <w:div w:id="18278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noaa.gov/explainers/deepwater-horizon-oil-spill-settlements-where-money-went" TargetMode="External"/><Relationship Id="rId2" Type="http://schemas.openxmlformats.org/officeDocument/2006/relationships/hyperlink" Target="https://www.epa.gov/enforcement/volkswagen-clean-air-act-civil-settlement" TargetMode="External"/><Relationship Id="rId1" Type="http://schemas.openxmlformats.org/officeDocument/2006/relationships/hyperlink" Target="https://climate.nasa.gov/vital-signs/carbon-diox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BCFCE-90D2-E74A-A461-73566C52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9276</Words>
  <Characters>51670</Characters>
  <Application>Microsoft Office Word</Application>
  <DocSecurity>0</DocSecurity>
  <Lines>717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Wood</dc:creator>
  <cp:keywords/>
  <dc:description/>
  <cp:lastModifiedBy>Mary Wood</cp:lastModifiedBy>
  <cp:revision>2</cp:revision>
  <dcterms:created xsi:type="dcterms:W3CDTF">2019-12-06T21:08:00Z</dcterms:created>
  <dcterms:modified xsi:type="dcterms:W3CDTF">2019-12-06T21:08:00Z</dcterms:modified>
</cp:coreProperties>
</file>