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A33E" w14:textId="77777777" w:rsidR="00223139" w:rsidRPr="00223139" w:rsidRDefault="00223139" w:rsidP="00223139">
      <w:pPr>
        <w:jc w:val="center"/>
        <w:rPr>
          <w:rFonts w:ascii="Times New Roman" w:hAnsi="Times New Roman" w:cs="Times New Roman"/>
          <w:b/>
          <w:bCs/>
        </w:rPr>
      </w:pPr>
    </w:p>
    <w:p w14:paraId="29CA4ED3" w14:textId="65FFFD45" w:rsidR="00223139" w:rsidRDefault="00223139" w:rsidP="00223139">
      <w:pPr>
        <w:jc w:val="center"/>
        <w:rPr>
          <w:rFonts w:ascii="Times New Roman" w:hAnsi="Times New Roman" w:cs="Times New Roman"/>
          <w:b/>
          <w:bCs/>
        </w:rPr>
      </w:pPr>
      <w:r w:rsidRPr="00223139">
        <w:rPr>
          <w:rFonts w:ascii="Times New Roman" w:hAnsi="Times New Roman" w:cs="Times New Roman"/>
          <w:b/>
          <w:bCs/>
        </w:rPr>
        <w:t xml:space="preserve">Confronting the </w:t>
      </w:r>
      <w:r>
        <w:rPr>
          <w:rFonts w:ascii="Times New Roman" w:hAnsi="Times New Roman" w:cs="Times New Roman"/>
          <w:b/>
          <w:bCs/>
        </w:rPr>
        <w:t>o</w:t>
      </w:r>
      <w:r w:rsidRPr="00223139">
        <w:rPr>
          <w:rFonts w:ascii="Times New Roman" w:hAnsi="Times New Roman" w:cs="Times New Roman"/>
          <w:b/>
          <w:bCs/>
        </w:rPr>
        <w:t>ther Climate Imperative:  An Approach to Sky Cleanup Using Natural Climate Solutions (NCS)</w:t>
      </w:r>
    </w:p>
    <w:p w14:paraId="4EED3832" w14:textId="7D91B339" w:rsidR="00223139" w:rsidRDefault="00223139" w:rsidP="00223139">
      <w:pPr>
        <w:jc w:val="center"/>
        <w:rPr>
          <w:rFonts w:ascii="Times New Roman" w:hAnsi="Times New Roman" w:cs="Times New Roman"/>
          <w:b/>
          <w:bCs/>
        </w:rPr>
      </w:pPr>
    </w:p>
    <w:p w14:paraId="57BB4408" w14:textId="77777777" w:rsidR="00223139" w:rsidRPr="00223139" w:rsidRDefault="00223139" w:rsidP="00223139">
      <w:pPr>
        <w:jc w:val="center"/>
        <w:rPr>
          <w:rFonts w:ascii="Times New Roman" w:hAnsi="Times New Roman" w:cs="Times New Roman"/>
          <w:b/>
          <w:bCs/>
          <w:i/>
          <w:iCs/>
        </w:rPr>
      </w:pPr>
      <w:r w:rsidRPr="00223139">
        <w:rPr>
          <w:rFonts w:ascii="Times New Roman" w:hAnsi="Times New Roman" w:cs="Times New Roman"/>
          <w:b/>
          <w:bCs/>
          <w:i/>
          <w:iCs/>
        </w:rPr>
        <w:t>Mary Christina Wood</w:t>
      </w:r>
    </w:p>
    <w:p w14:paraId="59958279" w14:textId="77777777" w:rsidR="00223139" w:rsidRPr="00223139" w:rsidRDefault="00223139" w:rsidP="00223139">
      <w:pPr>
        <w:jc w:val="center"/>
        <w:rPr>
          <w:rFonts w:ascii="Times New Roman" w:hAnsi="Times New Roman" w:cs="Times New Roman"/>
          <w:b/>
          <w:bCs/>
        </w:rPr>
      </w:pPr>
    </w:p>
    <w:p w14:paraId="0012AC19" w14:textId="6760EC15" w:rsidR="00773E0B" w:rsidRDefault="00773E0B">
      <w:pPr>
        <w:rPr>
          <w:rFonts w:ascii="Times New Roman" w:hAnsi="Times New Roman" w:cs="Times New Roman"/>
          <w:b/>
          <w:bCs/>
          <w:u w:val="single"/>
        </w:rPr>
      </w:pPr>
    </w:p>
    <w:p w14:paraId="7924336E" w14:textId="599DB32F" w:rsidR="00223139" w:rsidRDefault="00223139">
      <w:pPr>
        <w:rPr>
          <w:rFonts w:ascii="Times New Roman" w:hAnsi="Times New Roman" w:cs="Times New Roman"/>
        </w:rPr>
      </w:pPr>
      <w:r>
        <w:rPr>
          <w:rFonts w:ascii="Times New Roman" w:hAnsi="Times New Roman" w:cs="Times New Roman"/>
        </w:rPr>
        <w:t>The climate emergency presents two urgent imperatives: 1) rapid decarbonization (phasing out fossil fuels); and 2) drawdown of the legacy carbon dioxide surpassing safe levels of 350 parts per million (ppm).  While decarbonization is the subject of enormous advocacy, initiative, and litigation, the drawdown project has languished due to lack of implementation strategies.  Scientists point to vast potential of Natural Climate Solutions (NCS) to draw down and sequester carbon through conservation and restoration techniques deployed across four ecotypes:  forests, rangeland/grasslands, farmlands, and blue/teal carbon areas such as estuaries and wetlands.  While NCS cannot accomplish all the atmospheric carbon cleanup necessary to recover the climate system, it can rapidly propel the urgent drawdown project while at the same time addressing the biodiversity crisis and achieving multiple co-benefits for communities, such as soil health, water quality, and flood mitigation. Scattered pilot projects and small ventures exist, but the full potential of NCS has not yet been tapped due to the lack of a strategy to scale up and accelerate adoption of techniques across large landscapes.</w:t>
      </w:r>
    </w:p>
    <w:p w14:paraId="7F72DCC2" w14:textId="77777777" w:rsidR="00223139" w:rsidRDefault="00223139">
      <w:pPr>
        <w:rPr>
          <w:rFonts w:ascii="Times New Roman" w:hAnsi="Times New Roman" w:cs="Times New Roman"/>
        </w:rPr>
      </w:pPr>
    </w:p>
    <w:p w14:paraId="7FAE5417" w14:textId="54966346" w:rsidR="00223139" w:rsidRDefault="00481BD3">
      <w:pPr>
        <w:rPr>
          <w:rFonts w:ascii="Times New Roman" w:hAnsi="Times New Roman" w:cs="Times New Roman"/>
        </w:rPr>
      </w:pPr>
      <w:r>
        <w:rPr>
          <w:rFonts w:ascii="Times New Roman" w:hAnsi="Times New Roman" w:cs="Times New Roman"/>
        </w:rPr>
        <w:t xml:space="preserve">This </w:t>
      </w:r>
      <w:r w:rsidR="00223139">
        <w:rPr>
          <w:rFonts w:ascii="Times New Roman" w:hAnsi="Times New Roman" w:cs="Times New Roman"/>
        </w:rPr>
        <w:t>A</w:t>
      </w:r>
      <w:r>
        <w:rPr>
          <w:rFonts w:ascii="Times New Roman" w:hAnsi="Times New Roman" w:cs="Times New Roman"/>
        </w:rPr>
        <w:t xml:space="preserve">ddress presents </w:t>
      </w:r>
      <w:r w:rsidR="00223139">
        <w:rPr>
          <w:rFonts w:ascii="Times New Roman" w:hAnsi="Times New Roman" w:cs="Times New Roman"/>
        </w:rPr>
        <w:t xml:space="preserve">such </w:t>
      </w:r>
      <w:r>
        <w:rPr>
          <w:rFonts w:ascii="Times New Roman" w:hAnsi="Times New Roman" w:cs="Times New Roman"/>
        </w:rPr>
        <w:t>a</w:t>
      </w:r>
      <w:r w:rsidR="00773E0B">
        <w:rPr>
          <w:rFonts w:ascii="Times New Roman" w:hAnsi="Times New Roman" w:cs="Times New Roman"/>
        </w:rPr>
        <w:t xml:space="preserve"> </w:t>
      </w:r>
      <w:r w:rsidR="00223139">
        <w:rPr>
          <w:rFonts w:ascii="Times New Roman" w:hAnsi="Times New Roman" w:cs="Times New Roman"/>
        </w:rPr>
        <w:t xml:space="preserve">strategy, encompassing a </w:t>
      </w:r>
      <w:r w:rsidR="00773E0B">
        <w:rPr>
          <w:rFonts w:ascii="Times New Roman" w:hAnsi="Times New Roman" w:cs="Times New Roman"/>
        </w:rPr>
        <w:t>three-gear approach</w:t>
      </w:r>
      <w:r w:rsidR="00223139">
        <w:rPr>
          <w:rFonts w:ascii="Times New Roman" w:hAnsi="Times New Roman" w:cs="Times New Roman"/>
        </w:rPr>
        <w:t>:</w:t>
      </w:r>
      <w:r w:rsidR="00773E0B">
        <w:rPr>
          <w:rFonts w:ascii="Times New Roman" w:hAnsi="Times New Roman" w:cs="Times New Roman"/>
        </w:rPr>
        <w:t xml:space="preserve"> (1) </w:t>
      </w:r>
      <w:r w:rsidR="00223139">
        <w:rPr>
          <w:rFonts w:ascii="Times New Roman" w:hAnsi="Times New Roman" w:cs="Times New Roman"/>
        </w:rPr>
        <w:t>Regional</w:t>
      </w:r>
      <w:r w:rsidR="00773E0B">
        <w:rPr>
          <w:rFonts w:ascii="Times New Roman" w:hAnsi="Times New Roman" w:cs="Times New Roman"/>
        </w:rPr>
        <w:t xml:space="preserve"> </w:t>
      </w:r>
      <w:r w:rsidR="00223139">
        <w:rPr>
          <w:rFonts w:ascii="Times New Roman" w:hAnsi="Times New Roman" w:cs="Times New Roman"/>
        </w:rPr>
        <w:t xml:space="preserve">Frameworks for </w:t>
      </w:r>
      <w:r w:rsidR="00773E0B">
        <w:rPr>
          <w:rFonts w:ascii="Times New Roman" w:hAnsi="Times New Roman" w:cs="Times New Roman"/>
        </w:rPr>
        <w:t>Atmospheric Recovery</w:t>
      </w:r>
      <w:r w:rsidR="00223139">
        <w:rPr>
          <w:rFonts w:ascii="Times New Roman" w:hAnsi="Times New Roman" w:cs="Times New Roman"/>
        </w:rPr>
        <w:t xml:space="preserve"> (FARs)</w:t>
      </w:r>
      <w:r w:rsidR="00773E0B">
        <w:rPr>
          <w:rFonts w:ascii="Times New Roman" w:hAnsi="Times New Roman" w:cs="Times New Roman"/>
        </w:rPr>
        <w:t xml:space="preserve">; </w:t>
      </w:r>
      <w:r>
        <w:rPr>
          <w:rFonts w:ascii="Times New Roman" w:hAnsi="Times New Roman" w:cs="Times New Roman"/>
        </w:rPr>
        <w:t xml:space="preserve">(2) </w:t>
      </w:r>
      <w:r w:rsidR="00223139">
        <w:rPr>
          <w:rFonts w:ascii="Times New Roman" w:hAnsi="Times New Roman" w:cs="Times New Roman"/>
        </w:rPr>
        <w:t>F</w:t>
      </w:r>
      <w:r>
        <w:rPr>
          <w:rFonts w:ascii="Times New Roman" w:hAnsi="Times New Roman" w:cs="Times New Roman"/>
        </w:rPr>
        <w:t xml:space="preserve">inancing; and </w:t>
      </w:r>
      <w:r w:rsidR="00773E0B">
        <w:rPr>
          <w:rFonts w:ascii="Times New Roman" w:hAnsi="Times New Roman" w:cs="Times New Roman"/>
        </w:rPr>
        <w:t xml:space="preserve">(3) </w:t>
      </w:r>
      <w:r w:rsidR="00223139">
        <w:rPr>
          <w:rFonts w:ascii="Times New Roman" w:hAnsi="Times New Roman" w:cs="Times New Roman"/>
        </w:rPr>
        <w:t xml:space="preserve">Regional </w:t>
      </w:r>
      <w:r w:rsidR="00773E0B">
        <w:rPr>
          <w:rFonts w:ascii="Times New Roman" w:hAnsi="Times New Roman" w:cs="Times New Roman"/>
        </w:rPr>
        <w:t>Sky Trust</w:t>
      </w:r>
      <w:r w:rsidR="00223139">
        <w:rPr>
          <w:rFonts w:ascii="Times New Roman" w:hAnsi="Times New Roman" w:cs="Times New Roman"/>
        </w:rPr>
        <w:t>s</w:t>
      </w:r>
      <w:r w:rsidR="00773E0B">
        <w:rPr>
          <w:rFonts w:ascii="Times New Roman" w:hAnsi="Times New Roman" w:cs="Times New Roman"/>
        </w:rPr>
        <w:t xml:space="preserve">.  </w:t>
      </w:r>
      <w:r w:rsidR="00223139">
        <w:rPr>
          <w:rFonts w:ascii="Times New Roman" w:hAnsi="Times New Roman" w:cs="Times New Roman"/>
        </w:rPr>
        <w:t>A regional Framework presents an opportunity for land managers and organizations to hasten and NCS across broad landscapes by providing an implementation bridge consisting of components necessary to design and carry out NCS projects -- including techniques; pricing estimates; logistics; funding opportunities; co-benefit assessments, monitoring standards; and durability mechanisms (conservation easements and/or covenants).  The Financing gear encompasses not only established sources (</w:t>
      </w:r>
      <w:r w:rsidR="00773E0B">
        <w:rPr>
          <w:rFonts w:ascii="Times New Roman" w:hAnsi="Times New Roman" w:cs="Times New Roman"/>
        </w:rPr>
        <w:t xml:space="preserve">existing Federal and State programs, private philanthropy, </w:t>
      </w:r>
      <w:r w:rsidR="00223139">
        <w:rPr>
          <w:rFonts w:ascii="Times New Roman" w:hAnsi="Times New Roman" w:cs="Times New Roman"/>
        </w:rPr>
        <w:t xml:space="preserve">public bonds and tax revenues), but also potential settlements or court-ordered damages in Atmospheric Natural Resource Damage </w:t>
      </w:r>
      <w:r w:rsidR="00773E0B">
        <w:rPr>
          <w:rFonts w:ascii="Times New Roman" w:hAnsi="Times New Roman" w:cs="Times New Roman"/>
        </w:rPr>
        <w:t>litigation against fossil fuel corporations</w:t>
      </w:r>
      <w:r w:rsidR="00223139">
        <w:rPr>
          <w:rFonts w:ascii="Times New Roman" w:hAnsi="Times New Roman" w:cs="Times New Roman"/>
        </w:rPr>
        <w:t xml:space="preserve"> for their contributions to carbon pollution.  Regional</w:t>
      </w:r>
      <w:r w:rsidR="00773E0B">
        <w:rPr>
          <w:rFonts w:ascii="Times New Roman" w:hAnsi="Times New Roman" w:cs="Times New Roman"/>
        </w:rPr>
        <w:t xml:space="preserve"> Sky Trust</w:t>
      </w:r>
      <w:r w:rsidR="00223139">
        <w:rPr>
          <w:rFonts w:ascii="Times New Roman" w:hAnsi="Times New Roman" w:cs="Times New Roman"/>
        </w:rPr>
        <w:t>s</w:t>
      </w:r>
      <w:r w:rsidR="00773E0B">
        <w:rPr>
          <w:rFonts w:ascii="Times New Roman" w:hAnsi="Times New Roman" w:cs="Times New Roman"/>
        </w:rPr>
        <w:t>, structured like land trust</w:t>
      </w:r>
      <w:r w:rsidR="00223139">
        <w:rPr>
          <w:rFonts w:ascii="Times New Roman" w:hAnsi="Times New Roman" w:cs="Times New Roman"/>
        </w:rPr>
        <w:t>s</w:t>
      </w:r>
      <w:r w:rsidR="00773E0B">
        <w:rPr>
          <w:rFonts w:ascii="Times New Roman" w:hAnsi="Times New Roman" w:cs="Times New Roman"/>
        </w:rPr>
        <w:t xml:space="preserve">, </w:t>
      </w:r>
      <w:r w:rsidR="00223139">
        <w:rPr>
          <w:rFonts w:ascii="Times New Roman" w:hAnsi="Times New Roman" w:cs="Times New Roman"/>
        </w:rPr>
        <w:t>may</w:t>
      </w:r>
      <w:r w:rsidR="00773E0B">
        <w:rPr>
          <w:rFonts w:ascii="Times New Roman" w:hAnsi="Times New Roman" w:cs="Times New Roman"/>
        </w:rPr>
        <w:t xml:space="preserve"> </w:t>
      </w:r>
      <w:r w:rsidR="00223139">
        <w:rPr>
          <w:rFonts w:ascii="Times New Roman" w:hAnsi="Times New Roman" w:cs="Times New Roman"/>
        </w:rPr>
        <w:t>serve as the repository for sky cleanup funds and function as the transactional entity funding and structuring sequestration projects.  This talk presents the Pacific Northwest as a case study of a regional drawdown effort.</w:t>
      </w:r>
    </w:p>
    <w:p w14:paraId="0C4DD9E5" w14:textId="5C2B1F41" w:rsidR="00773E0B" w:rsidRPr="00773E0B" w:rsidRDefault="00773E0B">
      <w:pPr>
        <w:rPr>
          <w:rFonts w:ascii="Times New Roman" w:hAnsi="Times New Roman" w:cs="Times New Roman"/>
        </w:rPr>
      </w:pPr>
    </w:p>
    <w:sectPr w:rsidR="00773E0B" w:rsidRPr="00773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0B"/>
    <w:rsid w:val="00223139"/>
    <w:rsid w:val="00253AAE"/>
    <w:rsid w:val="003E17D5"/>
    <w:rsid w:val="00481BD3"/>
    <w:rsid w:val="00773E0B"/>
    <w:rsid w:val="00AA3069"/>
    <w:rsid w:val="00C6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35F71"/>
  <w15:chartTrackingRefBased/>
  <w15:docId w15:val="{8A106721-1C65-E143-805E-1EBBA6F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Housel</dc:creator>
  <cp:keywords/>
  <dc:description/>
  <cp:lastModifiedBy>Cole Barron</cp:lastModifiedBy>
  <cp:revision>2</cp:revision>
  <dcterms:created xsi:type="dcterms:W3CDTF">2023-01-24T18:24:00Z</dcterms:created>
  <dcterms:modified xsi:type="dcterms:W3CDTF">2023-01-24T18:24:00Z</dcterms:modified>
</cp:coreProperties>
</file>